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5C" w:rsidRPr="004D5B09" w:rsidRDefault="00A0365C" w:rsidP="005409B4">
      <w:pPr>
        <w:spacing w:after="0" w:line="276" w:lineRule="auto"/>
        <w:jc w:val="both"/>
        <w:rPr>
          <w:rFonts w:ascii="Aldhabi" w:eastAsiaTheme="minorEastAsia" w:hAnsi="Aldhabi" w:cs="Aldhabi"/>
          <w:b/>
          <w:bCs/>
          <w:sz w:val="20"/>
          <w:szCs w:val="20"/>
          <w:u w:val="single"/>
        </w:rPr>
      </w:pPr>
    </w:p>
    <w:p w:rsidR="00A0365C" w:rsidRPr="004D5B09" w:rsidRDefault="00A0365C" w:rsidP="005409B4">
      <w:pPr>
        <w:spacing w:after="0" w:line="276" w:lineRule="auto"/>
        <w:jc w:val="both"/>
        <w:rPr>
          <w:rFonts w:ascii="Aldhabi" w:eastAsiaTheme="minorEastAsia" w:hAnsi="Aldhabi" w:cs="Aldhabi"/>
          <w:b/>
          <w:bCs/>
          <w:sz w:val="20"/>
          <w:szCs w:val="20"/>
          <w:u w:val="single"/>
        </w:rPr>
      </w:pPr>
    </w:p>
    <w:p w:rsidR="0065541C" w:rsidRPr="00E75207" w:rsidRDefault="00A731AB" w:rsidP="00A731AB">
      <w:pPr>
        <w:bidi/>
        <w:spacing w:after="0" w:line="276" w:lineRule="auto"/>
        <w:jc w:val="both"/>
        <w:rPr>
          <w:rFonts w:ascii="Neo Sans Arabic" w:eastAsia="Times New Roman" w:hAnsi="Neo Sans Arabic" w:cs="Neo Sans Arabic"/>
          <w:b/>
          <w:bCs/>
          <w:szCs w:val="21"/>
          <w:rtl/>
          <w:lang w:val="en-GB" w:bidi="ar-SY"/>
        </w:rPr>
      </w:pPr>
      <w:r w:rsidRPr="00E75207">
        <w:rPr>
          <w:rFonts w:ascii="Neo Sans Arabic" w:eastAsia="Times New Roman" w:hAnsi="Neo Sans Arabic" w:cs="Neo Sans Arabic" w:hint="cs"/>
          <w:b/>
          <w:bCs/>
          <w:szCs w:val="21"/>
          <w:rtl/>
          <w:lang w:val="en-GB" w:bidi="ar-SY"/>
        </w:rPr>
        <w:t>خبر صحفي</w:t>
      </w:r>
    </w:p>
    <w:p w:rsidR="000E1EAF" w:rsidRPr="00E75207" w:rsidRDefault="000E1EAF" w:rsidP="005409B4">
      <w:pPr>
        <w:spacing w:after="0" w:line="276" w:lineRule="auto"/>
        <w:jc w:val="both"/>
        <w:rPr>
          <w:rFonts w:ascii="Neo Sans Arabic" w:eastAsia="Times New Roman" w:hAnsi="Neo Sans Arabic" w:cs="Neo Sans Arabic"/>
          <w:szCs w:val="21"/>
          <w:lang w:val="en-GB" w:bidi="ar-SY"/>
        </w:rPr>
      </w:pPr>
    </w:p>
    <w:p w:rsidR="0065541C" w:rsidRPr="00576514" w:rsidRDefault="00397EEF" w:rsidP="00A731AB">
      <w:pPr>
        <w:bidi/>
        <w:spacing w:after="0" w:line="276" w:lineRule="auto"/>
        <w:jc w:val="both"/>
        <w:rPr>
          <w:rFonts w:ascii="Klavika Light" w:eastAsia="MS Mincho" w:hAnsi="Klavika Light" w:cs="Arial"/>
          <w:b/>
          <w:bCs/>
          <w:sz w:val="24"/>
          <w:szCs w:val="24"/>
          <w:rtl/>
          <w:lang w:val="en-GB" w:bidi="ar-YE"/>
        </w:rPr>
      </w:pPr>
      <w:r>
        <w:rPr>
          <w:rFonts w:ascii="Neo Sans Arabic" w:eastAsia="Times New Roman" w:hAnsi="Neo Sans Arabic" w:cs="Neo Sans Arabic"/>
          <w:b/>
          <w:bCs/>
          <w:szCs w:val="21"/>
          <w:lang w:val="en-GB" w:bidi="ar-SY"/>
        </w:rPr>
        <w:t>25</w:t>
      </w:r>
      <w:bookmarkStart w:id="0" w:name="_GoBack"/>
      <w:bookmarkEnd w:id="0"/>
      <w:r w:rsidR="00A731AB" w:rsidRPr="00576514">
        <w:rPr>
          <w:rFonts w:ascii="Neo Sans Arabic" w:eastAsia="Times New Roman" w:hAnsi="Neo Sans Arabic" w:cs="Neo Sans Arabic" w:hint="cs"/>
          <w:b/>
          <w:bCs/>
          <w:szCs w:val="21"/>
          <w:rtl/>
          <w:lang w:val="en-GB" w:bidi="ar-SY"/>
        </w:rPr>
        <w:t xml:space="preserve"> أبريل 2017</w:t>
      </w:r>
    </w:p>
    <w:p w:rsidR="006C7D49" w:rsidRPr="004D5B09" w:rsidRDefault="006C7D49" w:rsidP="005409B4">
      <w:pPr>
        <w:spacing w:after="0" w:line="276" w:lineRule="auto"/>
        <w:jc w:val="both"/>
        <w:rPr>
          <w:rFonts w:ascii="Klavika Light" w:eastAsia="MS Mincho" w:hAnsi="Klavika Light" w:cs="Arial"/>
          <w:b/>
          <w:bCs/>
          <w:sz w:val="24"/>
          <w:szCs w:val="24"/>
          <w:lang w:val="en-GB"/>
        </w:rPr>
      </w:pPr>
    </w:p>
    <w:p w:rsidR="006C5053" w:rsidRDefault="006A7A3F" w:rsidP="00C0461A">
      <w:pPr>
        <w:bidi/>
        <w:spacing w:after="0" w:line="276" w:lineRule="auto"/>
        <w:jc w:val="center"/>
        <w:rPr>
          <w:rFonts w:ascii="Neo Sans Arabic" w:eastAsia="Times New Roman" w:hAnsi="Neo Sans Arabic" w:cs="Neo Sans Arabic"/>
          <w:b/>
          <w:bCs/>
          <w:sz w:val="40"/>
          <w:szCs w:val="40"/>
          <w:rtl/>
          <w:lang w:val="en-GB" w:bidi="ar-SY"/>
        </w:rPr>
      </w:pPr>
      <w:r w:rsidRPr="00C0461A">
        <w:rPr>
          <w:rFonts w:ascii="Neo Sans Arabic" w:eastAsia="Times New Roman" w:hAnsi="Neo Sans Arabic" w:cs="Neo Sans Arabic" w:hint="cs"/>
          <w:b/>
          <w:bCs/>
          <w:sz w:val="38"/>
          <w:szCs w:val="38"/>
          <w:rtl/>
          <w:lang w:val="en-GB" w:bidi="ar-SY"/>
        </w:rPr>
        <w:t xml:space="preserve">"دبي باركس آند ريزورتس" تكشف عن أكبر </w:t>
      </w:r>
      <w:r w:rsidR="00C0461A" w:rsidRPr="00C0461A">
        <w:rPr>
          <w:rFonts w:ascii="Neo Sans Arabic" w:eastAsia="Times New Roman" w:hAnsi="Neo Sans Arabic" w:cs="Neo Sans Arabic" w:hint="cs"/>
          <w:b/>
          <w:bCs/>
          <w:sz w:val="38"/>
          <w:szCs w:val="38"/>
          <w:rtl/>
          <w:lang w:val="en-GB" w:bidi="ar-SY"/>
        </w:rPr>
        <w:t>ا</w:t>
      </w:r>
      <w:r w:rsidR="00E634A8" w:rsidRPr="00C0461A">
        <w:rPr>
          <w:rFonts w:ascii="Neo Sans Arabic" w:eastAsia="Times New Roman" w:hAnsi="Neo Sans Arabic" w:cs="Neo Sans Arabic" w:hint="cs"/>
          <w:b/>
          <w:bCs/>
          <w:sz w:val="38"/>
          <w:szCs w:val="38"/>
          <w:rtl/>
          <w:lang w:val="en-GB" w:bidi="ar-SY"/>
        </w:rPr>
        <w:t>لأماكن</w:t>
      </w:r>
      <w:r w:rsidR="00C0461A" w:rsidRPr="00C0461A">
        <w:rPr>
          <w:rFonts w:ascii="Neo Sans Arabic" w:eastAsia="Times New Roman" w:hAnsi="Neo Sans Arabic" w:cs="Neo Sans Arabic" w:hint="cs"/>
          <w:b/>
          <w:bCs/>
          <w:sz w:val="38"/>
          <w:szCs w:val="38"/>
          <w:rtl/>
          <w:lang w:val="en-GB" w:bidi="ar-SY"/>
        </w:rPr>
        <w:t xml:space="preserve"> </w:t>
      </w:r>
      <w:r w:rsidR="00C0461A">
        <w:rPr>
          <w:rFonts w:ascii="Neo Sans Arabic" w:eastAsia="Times New Roman" w:hAnsi="Neo Sans Arabic" w:cs="Neo Sans Arabic" w:hint="cs"/>
          <w:b/>
          <w:bCs/>
          <w:sz w:val="38"/>
          <w:szCs w:val="38"/>
          <w:rtl/>
          <w:lang w:val="en-GB" w:bidi="ar-SY"/>
        </w:rPr>
        <w:t xml:space="preserve">وأكثرها تميزاً </w:t>
      </w:r>
      <w:r w:rsidR="00C0461A" w:rsidRPr="00C0461A">
        <w:rPr>
          <w:rFonts w:ascii="Neo Sans Arabic" w:eastAsia="Times New Roman" w:hAnsi="Neo Sans Arabic" w:cs="Neo Sans Arabic" w:hint="cs"/>
          <w:b/>
          <w:bCs/>
          <w:sz w:val="38"/>
          <w:szCs w:val="38"/>
          <w:rtl/>
          <w:lang w:val="en-GB" w:bidi="ar-SY"/>
        </w:rPr>
        <w:t>لإقامة</w:t>
      </w:r>
      <w:r w:rsidRPr="00C0461A">
        <w:rPr>
          <w:rFonts w:ascii="Neo Sans Arabic" w:eastAsia="Times New Roman" w:hAnsi="Neo Sans Arabic" w:cs="Neo Sans Arabic" w:hint="cs"/>
          <w:b/>
          <w:bCs/>
          <w:sz w:val="38"/>
          <w:szCs w:val="38"/>
          <w:rtl/>
          <w:lang w:val="en-GB" w:bidi="ar-SY"/>
        </w:rPr>
        <w:t xml:space="preserve"> </w:t>
      </w:r>
      <w:r w:rsidR="00C0461A" w:rsidRPr="00C0461A">
        <w:rPr>
          <w:rFonts w:ascii="Neo Sans Arabic" w:eastAsia="Times New Roman" w:hAnsi="Neo Sans Arabic" w:cs="Neo Sans Arabic" w:hint="cs"/>
          <w:b/>
          <w:bCs/>
          <w:sz w:val="38"/>
          <w:szCs w:val="38"/>
          <w:rtl/>
          <w:lang w:val="en-GB" w:bidi="ar-SY"/>
        </w:rPr>
        <w:t>ا</w:t>
      </w:r>
      <w:r w:rsidR="00C0461A">
        <w:rPr>
          <w:rFonts w:ascii="Neo Sans Arabic" w:eastAsia="Times New Roman" w:hAnsi="Neo Sans Arabic" w:cs="Neo Sans Arabic" w:hint="cs"/>
          <w:b/>
          <w:bCs/>
          <w:sz w:val="38"/>
          <w:szCs w:val="38"/>
          <w:rtl/>
          <w:lang w:val="en-GB" w:bidi="ar-SY"/>
        </w:rPr>
        <w:t>لفعاليات والمؤتمرات ب</w:t>
      </w:r>
      <w:r w:rsidRPr="00C0461A">
        <w:rPr>
          <w:rFonts w:ascii="Neo Sans Arabic" w:eastAsia="Times New Roman" w:hAnsi="Neo Sans Arabic" w:cs="Neo Sans Arabic" w:hint="cs"/>
          <w:b/>
          <w:bCs/>
          <w:sz w:val="38"/>
          <w:szCs w:val="38"/>
          <w:rtl/>
          <w:lang w:val="en-GB" w:bidi="ar-SY"/>
        </w:rPr>
        <w:t>المنطقة</w:t>
      </w:r>
    </w:p>
    <w:p w:rsidR="00CF4EB9" w:rsidRPr="001A0EE7" w:rsidRDefault="00CF4EB9" w:rsidP="00CF4EB9">
      <w:pPr>
        <w:bidi/>
        <w:spacing w:after="0" w:line="276" w:lineRule="auto"/>
        <w:jc w:val="center"/>
        <w:rPr>
          <w:rFonts w:ascii="Klavika Light" w:eastAsia="MS Mincho" w:hAnsi="Klavika Light" w:cs="Arial"/>
          <w:b/>
          <w:bCs/>
          <w:sz w:val="40"/>
          <w:szCs w:val="40"/>
          <w:lang w:val="en-GB"/>
        </w:rPr>
      </w:pPr>
    </w:p>
    <w:p w:rsidR="00736801" w:rsidRPr="00736801" w:rsidRDefault="0070195A" w:rsidP="0070195A">
      <w:pPr>
        <w:pStyle w:val="PlainText"/>
        <w:numPr>
          <w:ilvl w:val="0"/>
          <w:numId w:val="18"/>
        </w:numPr>
        <w:bidi/>
        <w:spacing w:line="276" w:lineRule="auto"/>
        <w:jc w:val="both"/>
        <w:rPr>
          <w:rFonts w:ascii="Neo Sans Arabic" w:eastAsia="Times New Roman" w:hAnsi="Neo Sans Arabic" w:cs="Neo Sans Arabic"/>
          <w:sz w:val="24"/>
          <w:szCs w:val="24"/>
          <w:lang w:val="en-GB" w:bidi="ar-SY"/>
        </w:rPr>
      </w:pPr>
      <w:r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أماكن </w:t>
      </w:r>
      <w:r w:rsidR="007B53F5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حسب الطلب مخصص</w:t>
      </w:r>
      <w:r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ة</w:t>
      </w:r>
      <w:r w:rsidR="007B53F5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</w:t>
      </w:r>
      <w:r w:rsidR="004B5EB3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للفعاليات </w:t>
      </w:r>
      <w:r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ت</w:t>
      </w:r>
      <w:r w:rsidR="00736801" w:rsidRPr="00736801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شمل مسارح عالمي</w:t>
      </w:r>
      <w:r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ة المستوى</w:t>
      </w:r>
      <w:r w:rsidR="00736801" w:rsidRPr="00736801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وتكنولوجيا متطورة وغرف اجتماعات </w:t>
      </w:r>
      <w:r w:rsidR="007B53F5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وقاعات</w:t>
      </w:r>
      <w:r w:rsidR="00736801" w:rsidRPr="00736801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و</w:t>
      </w:r>
      <w:r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حتى </w:t>
      </w:r>
      <w:r w:rsidR="00736801" w:rsidRPr="00736801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ألعاب </w:t>
      </w:r>
      <w:r w:rsidR="007B53F5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ركوب </w:t>
      </w:r>
      <w:r w:rsidR="00736801" w:rsidRPr="00736801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مصممة ح</w:t>
      </w:r>
      <w:r w:rsidR="00130304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س</w:t>
      </w:r>
      <w:r w:rsidR="00736801" w:rsidRPr="00736801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ب الطلب</w:t>
      </w:r>
    </w:p>
    <w:p w:rsidR="00736801" w:rsidRPr="00736801" w:rsidRDefault="00736801" w:rsidP="007B53F5">
      <w:pPr>
        <w:pStyle w:val="PlainText"/>
        <w:numPr>
          <w:ilvl w:val="0"/>
          <w:numId w:val="18"/>
        </w:numPr>
        <w:bidi/>
        <w:spacing w:line="276" w:lineRule="auto"/>
        <w:jc w:val="both"/>
        <w:rPr>
          <w:rFonts w:ascii="Neo Sans Arabic" w:eastAsia="Times New Roman" w:hAnsi="Neo Sans Arabic" w:cs="Neo Sans Arabic"/>
          <w:sz w:val="24"/>
          <w:szCs w:val="24"/>
          <w:lang w:val="en-GB" w:bidi="ar-SY"/>
        </w:rPr>
      </w:pPr>
      <w:r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كافة</w:t>
      </w:r>
      <w:r w:rsidR="00735DFD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مرافق "دبي باركس آند ريز</w:t>
      </w:r>
      <w:r w:rsidRPr="00736801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و</w:t>
      </w:r>
      <w:r w:rsidR="00735DFD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ر</w:t>
      </w:r>
      <w:r w:rsidRPr="00736801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تس" </w:t>
      </w:r>
      <w:r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ب</w:t>
      </w:r>
      <w:r w:rsidRPr="00736801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ما فيها "بوليوود باركس دبي" و"موشنجيت دبي" و"ليجولاند دبي" و"ريفرلاند دبي" متاحة </w:t>
      </w:r>
      <w:r w:rsidR="007B53F5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لإقامة</w:t>
      </w:r>
      <w:r w:rsidRPr="00736801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فعاليات الشركات و</w:t>
      </w:r>
      <w:r w:rsidR="007B53F5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المناسبات ا</w:t>
      </w:r>
      <w:r w:rsidRPr="00736801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لخاصة </w:t>
      </w:r>
    </w:p>
    <w:p w:rsidR="00C0461A" w:rsidRDefault="00C0461A" w:rsidP="00C0461A">
      <w:pPr>
        <w:pStyle w:val="PlainText"/>
        <w:bidi/>
        <w:spacing w:line="276" w:lineRule="auto"/>
        <w:jc w:val="both"/>
        <w:rPr>
          <w:rFonts w:ascii="Neo Sans Arabic" w:eastAsia="Times New Roman" w:hAnsi="Neo Sans Arabic" w:cs="Neo Sans Arabic"/>
          <w:b/>
          <w:bCs/>
          <w:sz w:val="24"/>
          <w:szCs w:val="24"/>
          <w:lang w:val="en-GB" w:bidi="ar-SY"/>
        </w:rPr>
      </w:pPr>
    </w:p>
    <w:p w:rsidR="009A03A9" w:rsidRDefault="009A03A9" w:rsidP="009A03A9">
      <w:pPr>
        <w:pStyle w:val="PlainText"/>
        <w:bidi/>
        <w:spacing w:line="276" w:lineRule="auto"/>
        <w:jc w:val="both"/>
        <w:rPr>
          <w:rFonts w:ascii="Neo Sans Arabic" w:eastAsia="Times New Roman" w:hAnsi="Neo Sans Arabic" w:cs="Neo Sans Arabic"/>
          <w:b/>
          <w:bCs/>
          <w:sz w:val="24"/>
          <w:szCs w:val="24"/>
          <w:rtl/>
          <w:lang w:val="en-GB" w:bidi="ar-SY"/>
        </w:rPr>
      </w:pPr>
    </w:p>
    <w:p w:rsidR="00A520F3" w:rsidRDefault="00A731AB" w:rsidP="00A14D33">
      <w:pPr>
        <w:pStyle w:val="PlainText"/>
        <w:bidi/>
        <w:spacing w:line="276" w:lineRule="auto"/>
        <w:jc w:val="both"/>
        <w:rPr>
          <w:rFonts w:ascii="Neo Sans Arabic" w:eastAsia="Times New Roman" w:hAnsi="Neo Sans Arabic" w:cs="Neo Sans Arabic"/>
          <w:sz w:val="24"/>
          <w:szCs w:val="24"/>
          <w:lang w:val="en-GB" w:bidi="ar-SY"/>
        </w:rPr>
      </w:pPr>
      <w:r w:rsidRPr="008010DF">
        <w:rPr>
          <w:rFonts w:ascii="Neo Sans Arabic" w:eastAsia="Times New Roman" w:hAnsi="Neo Sans Arabic" w:cs="Neo Sans Arabic" w:hint="cs"/>
          <w:b/>
          <w:bCs/>
          <w:sz w:val="24"/>
          <w:szCs w:val="24"/>
          <w:rtl/>
          <w:lang w:val="en-GB" w:bidi="ar-SY"/>
        </w:rPr>
        <w:t>دبي، الإمارات:</w:t>
      </w:r>
      <w:r w:rsidRPr="008010DF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</w:t>
      </w:r>
      <w:r w:rsidR="00E828E4" w:rsidRPr="008010DF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كشفت </w:t>
      </w:r>
      <w:r w:rsidR="00E75207" w:rsidRPr="008010DF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"دبي باركس آند ريزورتس" أكبر وجهة ترفيهية متكاملة</w:t>
      </w:r>
      <w:r w:rsidR="00D4275D">
        <w:rPr>
          <w:rFonts w:ascii="Neo Sans Arabic" w:eastAsia="Times New Roman" w:hAnsi="Neo Sans Arabic" w:cs="Neo Sans Arabic" w:hint="cs"/>
          <w:sz w:val="24"/>
          <w:szCs w:val="24"/>
          <w:rtl/>
          <w:lang w:val="en-GB" w:bidi="ar-YE"/>
        </w:rPr>
        <w:t xml:space="preserve"> </w:t>
      </w:r>
      <w:r w:rsidR="007B53F5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في المنطقة</w:t>
      </w:r>
      <w:r w:rsidR="00E828E4" w:rsidRPr="008010DF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، </w:t>
      </w:r>
      <w:r w:rsidR="00490561" w:rsidRPr="008010DF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عن</w:t>
      </w:r>
      <w:r w:rsidR="00172EED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</w:t>
      </w:r>
      <w:r w:rsidR="00A14D33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مجموعة فريدة من الأماكن </w:t>
      </w:r>
      <w:r w:rsidR="007B53F5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المعدة</w:t>
      </w:r>
      <w:r w:rsidR="00172EED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لإقامة </w:t>
      </w:r>
      <w:r w:rsidR="006F2AA3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فعاليات </w:t>
      </w:r>
      <w:r w:rsidR="00D9215F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الشركات</w:t>
      </w:r>
      <w:r w:rsidR="00A520F3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والمناسبات الخاصة</w:t>
      </w:r>
      <w:r w:rsidR="00172EED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، </w:t>
      </w:r>
      <w:r w:rsidR="00D4275D" w:rsidRPr="00A14D33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والتي تناسب كافة ال</w:t>
      </w:r>
      <w:r w:rsidR="00A14D33" w:rsidRPr="00A14D33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فعاليات بدءاً من الاجتماعات الصغيرة وان</w:t>
      </w:r>
      <w:r w:rsidR="00A14D33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ت</w:t>
      </w:r>
      <w:r w:rsidR="00A14D33" w:rsidRPr="00A14D33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هاءً بالمحافل التي يشارك فيها آلاف الأشخاص. </w:t>
      </w:r>
    </w:p>
    <w:p w:rsidR="00A14D33" w:rsidRDefault="00A14D33" w:rsidP="00A14D33">
      <w:pPr>
        <w:pStyle w:val="PlainText"/>
        <w:bidi/>
        <w:spacing w:line="276" w:lineRule="auto"/>
        <w:jc w:val="both"/>
        <w:rPr>
          <w:rFonts w:ascii="Neo Sans Arabic" w:eastAsia="Times New Roman" w:hAnsi="Neo Sans Arabic" w:cs="Neo Sans Arabic"/>
          <w:sz w:val="24"/>
          <w:szCs w:val="24"/>
          <w:lang w:val="en-GB" w:bidi="ar-SY"/>
        </w:rPr>
      </w:pPr>
    </w:p>
    <w:p w:rsidR="00A50610" w:rsidRDefault="00A520F3" w:rsidP="00A520F3">
      <w:pPr>
        <w:pStyle w:val="PlainText"/>
        <w:bidi/>
        <w:spacing w:line="276" w:lineRule="auto"/>
        <w:jc w:val="both"/>
        <w:rPr>
          <w:rFonts w:ascii="Klavika Light" w:eastAsia="MS Mincho" w:hAnsi="Klavika Light" w:cs="Arial"/>
          <w:sz w:val="24"/>
          <w:szCs w:val="24"/>
          <w:lang w:val="en-GB"/>
        </w:rPr>
      </w:pPr>
      <w:r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وتش</w:t>
      </w:r>
      <w:r w:rsidR="00C46766" w:rsidRPr="007C2D23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مل</w:t>
      </w:r>
      <w:r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أبرز</w:t>
      </w:r>
      <w:r w:rsidR="00C46766" w:rsidRPr="007C2D23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</w:t>
      </w:r>
      <w:r w:rsidR="005C7515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الأماكن</w:t>
      </w:r>
      <w:r w:rsidR="00C46766" w:rsidRPr="007C2D23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المخصصة للفعاليات:</w:t>
      </w:r>
    </w:p>
    <w:p w:rsidR="00F4614C" w:rsidRPr="00F4614C" w:rsidRDefault="00F4614C" w:rsidP="00A520F3">
      <w:pPr>
        <w:pStyle w:val="PlainText"/>
        <w:numPr>
          <w:ilvl w:val="0"/>
          <w:numId w:val="17"/>
        </w:numPr>
        <w:bidi/>
        <w:spacing w:line="276" w:lineRule="auto"/>
        <w:jc w:val="both"/>
        <w:rPr>
          <w:rFonts w:ascii="Neo Sans Arabic" w:eastAsia="Times New Roman" w:hAnsi="Neo Sans Arabic" w:cs="Neo Sans Arabic"/>
          <w:sz w:val="24"/>
          <w:szCs w:val="24"/>
          <w:lang w:val="en-GB" w:bidi="ar-SY"/>
        </w:rPr>
      </w:pPr>
      <w:r w:rsidRPr="00F4614C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مسرح</w:t>
      </w:r>
      <w:r w:rsidRPr="00F4614C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"</w:t>
      </w:r>
      <w:r w:rsidRPr="00F4614C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راج</w:t>
      </w:r>
      <w:r w:rsidRPr="00F4614C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F4614C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محل</w:t>
      </w:r>
      <w:r w:rsidRPr="00F4614C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>"</w:t>
      </w:r>
      <w:r w:rsidR="00E731D3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</w:t>
      </w:r>
      <w:r w:rsidR="009F64B4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في منتزه "بوليوود باركس</w:t>
      </w:r>
      <w:r w:rsidR="001F083F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دبي"، المسرح الفريد الذي يتسع إلى </w:t>
      </w:r>
      <w:r w:rsidR="00D4383A" w:rsidRPr="00A520F3">
        <w:rPr>
          <w:rFonts w:ascii="Klavika Light" w:eastAsia="MS Mincho" w:hAnsi="Klavika Light" w:cs="Arial"/>
          <w:sz w:val="24"/>
          <w:szCs w:val="24"/>
          <w:lang w:val="en-GB"/>
        </w:rPr>
        <w:t>856</w:t>
      </w:r>
      <w:r w:rsidR="00D4383A">
        <w:rPr>
          <w:rFonts w:ascii="Klavika Light" w:eastAsia="MS Mincho" w:hAnsi="Klavika Light" w:cs="Arial" w:hint="cs"/>
          <w:sz w:val="24"/>
          <w:szCs w:val="24"/>
          <w:rtl/>
          <w:lang w:val="en-GB"/>
        </w:rPr>
        <w:t xml:space="preserve"> </w:t>
      </w:r>
      <w:r w:rsidR="001F083F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مقعداً </w:t>
      </w:r>
      <w:r w:rsidR="00460DA0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ويتميز ب</w:t>
      </w:r>
      <w:r w:rsidR="001F083F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شاشات </w:t>
      </w:r>
      <w:r w:rsidR="00460DA0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(</w:t>
      </w:r>
      <w:r w:rsidR="00460DA0" w:rsidRPr="00460DA0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صمام</w:t>
      </w:r>
      <w:r w:rsidR="00460DA0" w:rsidRPr="00460DA0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="00460DA0" w:rsidRPr="00460DA0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ثنائي</w:t>
      </w:r>
      <w:r w:rsidR="00460DA0" w:rsidRPr="00460DA0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="00460DA0" w:rsidRPr="00460DA0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باعث</w:t>
      </w:r>
      <w:r w:rsidR="00460DA0" w:rsidRPr="00460DA0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="00460DA0" w:rsidRPr="00460DA0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للضوء</w:t>
      </w:r>
      <w:r w:rsidR="00460DA0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</w:t>
      </w:r>
      <w:r w:rsidR="00460DA0">
        <w:rPr>
          <w:rFonts w:ascii="Neo Sans Arabic" w:eastAsia="Times New Roman" w:hAnsi="Neo Sans Arabic" w:cs="Neo Sans Arabic"/>
          <w:sz w:val="24"/>
          <w:szCs w:val="24"/>
          <w:lang w:bidi="ar-SY"/>
        </w:rPr>
        <w:t>LED</w:t>
      </w:r>
      <w:r w:rsidR="00460DA0">
        <w:rPr>
          <w:rFonts w:ascii="Neo Sans Arabic" w:eastAsia="Times New Roman" w:hAnsi="Neo Sans Arabic" w:cs="Neo Sans Arabic" w:hint="cs"/>
          <w:sz w:val="24"/>
          <w:szCs w:val="24"/>
          <w:rtl/>
          <w:lang w:bidi="ar-YE"/>
        </w:rPr>
        <w:t xml:space="preserve">)، </w:t>
      </w:r>
      <w:r w:rsidR="00A520F3">
        <w:rPr>
          <w:rFonts w:ascii="Neo Sans Arabic" w:eastAsia="Times New Roman" w:hAnsi="Neo Sans Arabic" w:cs="Neo Sans Arabic" w:hint="cs"/>
          <w:sz w:val="24"/>
          <w:szCs w:val="24"/>
          <w:rtl/>
          <w:lang w:bidi="ar-YE"/>
        </w:rPr>
        <w:t>و</w:t>
      </w:r>
      <w:r w:rsidR="00362F3A">
        <w:rPr>
          <w:rFonts w:ascii="Neo Sans Arabic" w:eastAsia="Times New Roman" w:hAnsi="Neo Sans Arabic" w:cs="Neo Sans Arabic" w:hint="cs"/>
          <w:sz w:val="24"/>
          <w:szCs w:val="24"/>
          <w:rtl/>
          <w:lang w:bidi="ar-YE"/>
        </w:rPr>
        <w:t>مسرح كبير وأنظمة إضاءة بتقنية عالية تناسب</w:t>
      </w:r>
      <w:r w:rsidR="00A520F3">
        <w:rPr>
          <w:rFonts w:ascii="Neo Sans Arabic" w:eastAsia="Times New Roman" w:hAnsi="Neo Sans Arabic" w:cs="Neo Sans Arabic" w:hint="cs"/>
          <w:sz w:val="24"/>
          <w:szCs w:val="24"/>
          <w:rtl/>
          <w:lang w:bidi="ar-YE"/>
        </w:rPr>
        <w:t xml:space="preserve"> مختلف</w:t>
      </w:r>
      <w:r w:rsidR="00362F3A">
        <w:rPr>
          <w:rFonts w:ascii="Neo Sans Arabic" w:eastAsia="Times New Roman" w:hAnsi="Neo Sans Arabic" w:cs="Neo Sans Arabic" w:hint="cs"/>
          <w:sz w:val="24"/>
          <w:szCs w:val="24"/>
          <w:rtl/>
          <w:lang w:bidi="ar-YE"/>
        </w:rPr>
        <w:t xml:space="preserve"> العروض والفعاليات</w:t>
      </w:r>
      <w:r w:rsidR="00A520F3">
        <w:rPr>
          <w:rFonts w:ascii="Neo Sans Arabic" w:eastAsia="Times New Roman" w:hAnsi="Neo Sans Arabic" w:cs="Neo Sans Arabic" w:hint="cs"/>
          <w:sz w:val="24"/>
          <w:szCs w:val="24"/>
          <w:rtl/>
          <w:lang w:bidi="ar-YE"/>
        </w:rPr>
        <w:t>.</w:t>
      </w:r>
    </w:p>
    <w:p w:rsidR="007F0E06" w:rsidRPr="005C28D6" w:rsidRDefault="005C28D6" w:rsidP="00A520F3">
      <w:pPr>
        <w:pStyle w:val="PlainText"/>
        <w:numPr>
          <w:ilvl w:val="0"/>
          <w:numId w:val="17"/>
        </w:numPr>
        <w:bidi/>
        <w:spacing w:line="276" w:lineRule="auto"/>
        <w:jc w:val="both"/>
        <w:rPr>
          <w:rFonts w:ascii="Neo Sans Arabic" w:eastAsia="Times New Roman" w:hAnsi="Neo Sans Arabic" w:cs="Neo Sans Arabic"/>
          <w:sz w:val="24"/>
          <w:szCs w:val="24"/>
          <w:lang w:val="en-GB" w:bidi="ar-SY"/>
        </w:rPr>
      </w:pPr>
      <w:r w:rsidRPr="005C28D6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"مسرح هوليوود" في منتزه "موشنجيت دبي"</w:t>
      </w:r>
      <w:r w:rsidR="00D34E95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، </w:t>
      </w:r>
      <w:r w:rsidR="00AF29EF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الذي </w:t>
      </w:r>
      <w:r w:rsidR="007A1298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يتسع إلى 1000 م</w:t>
      </w:r>
      <w:r w:rsidR="000245B5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قعد، ويتميز بشاشات </w:t>
      </w:r>
      <w:r w:rsidR="00A520F3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عرض</w:t>
      </w:r>
      <w:r w:rsidR="000245B5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متطورة تدعم عروض الأفلام أو </w:t>
      </w:r>
      <w:r w:rsidR="00A520F3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ال</w:t>
      </w:r>
      <w:r w:rsidR="000245B5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عروض </w:t>
      </w:r>
      <w:r w:rsidR="00A520F3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التوضيحية لل</w:t>
      </w:r>
      <w:r w:rsidR="000245B5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شركات.</w:t>
      </w:r>
    </w:p>
    <w:p w:rsidR="007B0A17" w:rsidRPr="000A123D" w:rsidRDefault="007B0A17" w:rsidP="00A520F3">
      <w:pPr>
        <w:pStyle w:val="PlainText"/>
        <w:numPr>
          <w:ilvl w:val="0"/>
          <w:numId w:val="17"/>
        </w:numPr>
        <w:bidi/>
        <w:spacing w:line="276" w:lineRule="auto"/>
        <w:jc w:val="both"/>
        <w:rPr>
          <w:rFonts w:ascii="Neo Sans Arabic" w:eastAsia="Times New Roman" w:hAnsi="Neo Sans Arabic" w:cs="Neo Sans Arabic"/>
          <w:sz w:val="24"/>
          <w:szCs w:val="24"/>
          <w:lang w:val="en-GB" w:bidi="ar-SY"/>
        </w:rPr>
      </w:pPr>
      <w:r w:rsidRPr="000A123D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"مسرح دابانج" بقدرة استيعابية تصل إلى 1200 ضيف، ويمتاز ب</w:t>
      </w:r>
      <w:r w:rsidR="000A123D" w:rsidRPr="000A123D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مسرح تفاعلي</w:t>
      </w:r>
      <w:r w:rsidR="00A520F3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ضخم</w:t>
      </w:r>
      <w:r w:rsidR="000A123D" w:rsidRPr="000A123D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</w:t>
      </w:r>
      <w:r w:rsidR="00A520F3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ملائم</w:t>
      </w:r>
      <w:r w:rsidR="000A123D" w:rsidRPr="000A123D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</w:t>
      </w:r>
      <w:r w:rsidR="00A520F3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ل</w:t>
      </w:r>
      <w:r w:rsidR="00E46165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عروض</w:t>
      </w:r>
      <w:r w:rsidR="000A123D" w:rsidRPr="000A123D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</w:t>
      </w:r>
      <w:r w:rsidR="005E422C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قيادة </w:t>
      </w:r>
      <w:r w:rsidR="000A123D" w:rsidRPr="000A123D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مركبات.</w:t>
      </w:r>
    </w:p>
    <w:p w:rsidR="003176C6" w:rsidRPr="00724BCE" w:rsidRDefault="003176C6" w:rsidP="00A520F3">
      <w:pPr>
        <w:pStyle w:val="PlainText"/>
        <w:numPr>
          <w:ilvl w:val="0"/>
          <w:numId w:val="17"/>
        </w:numPr>
        <w:bidi/>
        <w:spacing w:line="276" w:lineRule="auto"/>
        <w:jc w:val="both"/>
        <w:rPr>
          <w:rFonts w:ascii="Neo Sans Arabic" w:eastAsia="Times New Roman" w:hAnsi="Neo Sans Arabic" w:cs="Neo Sans Arabic"/>
          <w:sz w:val="24"/>
          <w:szCs w:val="24"/>
          <w:lang w:val="en-GB" w:bidi="ar-SY"/>
        </w:rPr>
      </w:pPr>
      <w:r w:rsidRPr="003176C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>"</w:t>
      </w:r>
      <w:r w:rsidRPr="003176C6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روك</w:t>
      </w:r>
      <w:r w:rsidRPr="003176C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3176C6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اون</w:t>
      </w:r>
      <w:r w:rsidRPr="003176C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>"</w:t>
      </w:r>
      <w:r w:rsidRPr="003176C6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، مطعم في منتزه "بوليوود باركس دبي" </w:t>
      </w:r>
      <w:r w:rsidR="00A520F3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يستوعب</w:t>
      </w:r>
      <w:r w:rsidR="00D4383A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ما يصل إلى</w:t>
      </w:r>
      <w:r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500 ضيف </w:t>
      </w:r>
      <w:r w:rsidRPr="00724BC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حسب وضعية الجلوس، و</w:t>
      </w:r>
      <w:r w:rsidR="00A520F3" w:rsidRPr="00724BC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له مدخل خاص</w:t>
      </w:r>
      <w:r w:rsidRPr="00724BC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.</w:t>
      </w:r>
    </w:p>
    <w:p w:rsidR="00724BCE" w:rsidRPr="00724BCE" w:rsidRDefault="00AE473A" w:rsidP="00724BCE">
      <w:pPr>
        <w:pStyle w:val="PlainText"/>
        <w:numPr>
          <w:ilvl w:val="0"/>
          <w:numId w:val="17"/>
        </w:numPr>
        <w:bidi/>
        <w:spacing w:line="276" w:lineRule="auto"/>
        <w:jc w:val="both"/>
        <w:rPr>
          <w:rFonts w:ascii="Neo Sans Arabic" w:eastAsia="Times New Roman" w:hAnsi="Neo Sans Arabic" w:cs="Neo Sans Arabic"/>
          <w:sz w:val="24"/>
          <w:szCs w:val="24"/>
          <w:lang w:val="en-GB" w:bidi="ar-SY"/>
        </w:rPr>
      </w:pPr>
      <w:r w:rsidRPr="00724BC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"ذا</w:t>
      </w:r>
      <w:r w:rsidRPr="00724BCE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724BC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انكور</w:t>
      </w:r>
      <w:r w:rsidRPr="00724BCE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="006C7A33" w:rsidRPr="00724BCE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>–</w:t>
      </w:r>
      <w:r w:rsidRPr="00724BCE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724BC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مساحة</w:t>
      </w:r>
      <w:r w:rsidR="006C7A33" w:rsidRPr="00724BC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داخلية</w:t>
      </w:r>
      <w:r w:rsidRPr="00724BCE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724BC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متعددة</w:t>
      </w:r>
      <w:r w:rsidRPr="00724BCE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724BC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الاستخدامات</w:t>
      </w:r>
      <w:r w:rsidR="006234BB" w:rsidRPr="00724BC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،</w:t>
      </w:r>
      <w:r w:rsidR="00F54E3F" w:rsidRPr="00724BC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</w:t>
      </w:r>
      <w:r w:rsidR="00E77E24" w:rsidRPr="00724BC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ت</w:t>
      </w:r>
      <w:r w:rsidR="00F54E3F" w:rsidRPr="00724BC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متد على مساحة 1800 متر مربع</w:t>
      </w:r>
      <w:r w:rsidR="006234BB" w:rsidRPr="00724BC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</w:t>
      </w:r>
      <w:r w:rsidR="006C7A33" w:rsidRPr="00724BC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وتستوعب </w:t>
      </w:r>
      <w:r w:rsidR="00F54E3F" w:rsidRPr="00724BC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آلاف الضيوف.</w:t>
      </w:r>
      <w:r w:rsidR="00724BCE" w:rsidRPr="00724BC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</w:t>
      </w:r>
    </w:p>
    <w:p w:rsidR="003E3FC3" w:rsidRPr="00724BCE" w:rsidRDefault="00724BCE" w:rsidP="00724BCE">
      <w:pPr>
        <w:pStyle w:val="PlainText"/>
        <w:numPr>
          <w:ilvl w:val="0"/>
          <w:numId w:val="17"/>
        </w:numPr>
        <w:bidi/>
        <w:spacing w:line="276" w:lineRule="auto"/>
        <w:jc w:val="both"/>
        <w:rPr>
          <w:rFonts w:ascii="Neo Sans Arabic" w:eastAsia="Times New Roman" w:hAnsi="Neo Sans Arabic" w:cs="Neo Sans Arabic"/>
          <w:sz w:val="24"/>
          <w:szCs w:val="24"/>
          <w:lang w:val="en-GB" w:bidi="ar-SY"/>
        </w:rPr>
      </w:pPr>
      <w:r w:rsidRPr="00724BC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مجمع </w:t>
      </w:r>
      <w:r w:rsidR="002D3E7B" w:rsidRPr="00724BC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"ريفرلاند دبي" </w:t>
      </w:r>
      <w:r w:rsidRPr="00724BC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يشتمل </w:t>
      </w:r>
      <w:r w:rsidR="002D3E7B" w:rsidRPr="00724BC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على مساحات خارجية مثالية لحفلات الزواج والاستقبال وفعاليات ومناسبات الشركات</w:t>
      </w:r>
      <w:r w:rsidRPr="00724BC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ومختلف الحفلات</w:t>
      </w:r>
      <w:r w:rsidR="002D3E7B" w:rsidRPr="00724BC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،</w:t>
      </w:r>
      <w:r w:rsidRPr="00724BC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ويضم </w:t>
      </w:r>
      <w:r w:rsidR="00C1471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"</w:t>
      </w:r>
      <w:r w:rsidRPr="00724BC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ريفيرا بلازا</w:t>
      </w:r>
      <w:r w:rsidR="00C1471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"</w:t>
      </w:r>
      <w:r w:rsidRPr="00724BC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 على مساحة </w:t>
      </w:r>
      <w:r w:rsidRPr="00237F81">
        <w:rPr>
          <w:rFonts w:ascii="Neo Sans Arabic" w:eastAsia="Times New Roman" w:hAnsi="Neo Sans Arabic" w:cs="Neo Sans Arabic"/>
          <w:sz w:val="24"/>
          <w:szCs w:val="24"/>
          <w:lang w:val="en-GB" w:bidi="ar-SY"/>
        </w:rPr>
        <w:t>2,400</w:t>
      </w:r>
      <w:r w:rsidRPr="00724BC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متر مربع، و</w:t>
      </w:r>
      <w:r w:rsidR="003015CC" w:rsidRPr="00724BC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"بورد ووك بلازا" </w:t>
      </w:r>
      <w:r w:rsidRPr="00724BC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على </w:t>
      </w:r>
      <w:r w:rsidR="003015CC" w:rsidRPr="00724BC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مساحة 1150 متر مربع، </w:t>
      </w:r>
      <w:r w:rsidR="003D71FE" w:rsidRPr="00724BC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و"أيلاند</w:t>
      </w:r>
      <w:r w:rsidR="003D71FE" w:rsidRPr="00724BCE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="003D71FE" w:rsidRPr="00724BC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بلازا" </w:t>
      </w:r>
      <w:r w:rsidR="007E5C30" w:rsidRPr="00724BC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على مساحة 1350 متر مربع، </w:t>
      </w:r>
      <w:r w:rsidR="008C64A3" w:rsidRPr="00724BC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وتتميز كل مساحة عن الأخرى بأجوا</w:t>
      </w:r>
      <w:r w:rsidR="00C5161C" w:rsidRPr="00724BC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ئ</w:t>
      </w:r>
      <w:r w:rsidR="008C64A3" w:rsidRPr="00724BC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ها الخاصة وطابعها المميز.</w:t>
      </w:r>
    </w:p>
    <w:p w:rsidR="00724BCE" w:rsidRPr="00724BCE" w:rsidRDefault="00724BCE" w:rsidP="00273DD5">
      <w:pPr>
        <w:pStyle w:val="PlainText"/>
        <w:bidi/>
        <w:spacing w:line="276" w:lineRule="auto"/>
        <w:ind w:left="720"/>
        <w:jc w:val="both"/>
        <w:rPr>
          <w:rFonts w:ascii="Neo Sans Arabic" w:eastAsia="Times New Roman" w:hAnsi="Neo Sans Arabic" w:cs="Neo Sans Arabic"/>
          <w:sz w:val="24"/>
          <w:szCs w:val="24"/>
          <w:lang w:val="en-GB" w:bidi="ar-SY"/>
        </w:rPr>
      </w:pPr>
    </w:p>
    <w:p w:rsidR="00A14D33" w:rsidRPr="002E041D" w:rsidRDefault="00A14D33" w:rsidP="00A14D33">
      <w:pPr>
        <w:pStyle w:val="PlainText"/>
        <w:bidi/>
        <w:spacing w:line="276" w:lineRule="auto"/>
        <w:ind w:left="720"/>
        <w:jc w:val="both"/>
        <w:rPr>
          <w:rFonts w:ascii="Neo Sans Arabic" w:eastAsia="Times New Roman" w:hAnsi="Neo Sans Arabic" w:cs="Neo Sans Arabic"/>
          <w:sz w:val="24"/>
          <w:szCs w:val="24"/>
          <w:lang w:val="en-GB" w:bidi="ar-SY"/>
        </w:rPr>
      </w:pPr>
    </w:p>
    <w:p w:rsidR="00F131C1" w:rsidRPr="002E041D" w:rsidRDefault="00A04183" w:rsidP="00724BCE">
      <w:pPr>
        <w:pStyle w:val="PlainText"/>
        <w:numPr>
          <w:ilvl w:val="0"/>
          <w:numId w:val="17"/>
        </w:numPr>
        <w:bidi/>
        <w:spacing w:line="276" w:lineRule="auto"/>
        <w:jc w:val="both"/>
        <w:rPr>
          <w:rFonts w:ascii="Neo Sans Arabic" w:eastAsia="Times New Roman" w:hAnsi="Neo Sans Arabic" w:cs="Neo Sans Arabic"/>
          <w:sz w:val="24"/>
          <w:szCs w:val="24"/>
          <w:lang w:val="en-GB" w:bidi="ar-SY"/>
        </w:rPr>
      </w:pPr>
      <w:r w:rsidRPr="002E041D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lastRenderedPageBreak/>
        <w:t xml:space="preserve">"قاعة تامور" في فندق "لابيتا"، قاعة داخلية أنيقة وفسيحة تمتد على مساحة 710 متر </w:t>
      </w:r>
      <w:r w:rsidR="007A4497" w:rsidRPr="002E041D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مربع، ويمكن تقسيمها إلى 4 أ</w:t>
      </w:r>
      <w:r w:rsidR="00724BCE" w:rsidRPr="002E041D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جزاء، </w:t>
      </w:r>
      <w:r w:rsidR="007A4497" w:rsidRPr="002E041D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و</w:t>
      </w:r>
      <w:r w:rsidR="00724BCE" w:rsidRPr="002E041D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تستوعب كل منها</w:t>
      </w:r>
      <w:r w:rsidR="007A4497" w:rsidRPr="002E041D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ما يصل إلى 1000 شخص.</w:t>
      </w:r>
    </w:p>
    <w:p w:rsidR="006F2AA3" w:rsidRPr="002E041D" w:rsidRDefault="008A1046" w:rsidP="002E041D">
      <w:pPr>
        <w:pStyle w:val="PlainText"/>
        <w:numPr>
          <w:ilvl w:val="0"/>
          <w:numId w:val="17"/>
        </w:numPr>
        <w:bidi/>
        <w:spacing w:line="276" w:lineRule="auto"/>
        <w:jc w:val="both"/>
        <w:rPr>
          <w:rFonts w:ascii="Neo Sans Arabic" w:eastAsia="Times New Roman" w:hAnsi="Neo Sans Arabic" w:cs="Neo Sans Arabic"/>
          <w:sz w:val="24"/>
          <w:szCs w:val="24"/>
          <w:lang w:val="en-GB" w:bidi="ar-SY"/>
        </w:rPr>
      </w:pPr>
      <w:r w:rsidRPr="002E041D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فندق "لابيتا" </w:t>
      </w:r>
      <w:r w:rsidR="002E041D" w:rsidRPr="002E041D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يوفر </w:t>
      </w:r>
      <w:r w:rsidRPr="002E041D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مساحات داخلية</w:t>
      </w:r>
      <w:r w:rsidR="002E041D" w:rsidRPr="002E041D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للفعاليات</w:t>
      </w:r>
      <w:r w:rsidRPr="002E041D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</w:t>
      </w:r>
      <w:r w:rsidR="002E041D" w:rsidRPr="002E041D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تمتد على </w:t>
      </w:r>
      <w:r w:rsidR="00724BCE" w:rsidRPr="002E041D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</w:t>
      </w:r>
      <w:r w:rsidRPr="002E041D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2200 متر مربع، مخصصة </w:t>
      </w:r>
      <w:r w:rsidR="00724BCE" w:rsidRPr="002E041D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ل</w:t>
      </w:r>
      <w:r w:rsidR="00C65478" w:rsidRPr="002E041D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لاجتماعات الرسمية</w:t>
      </w:r>
      <w:r w:rsidR="002E041D" w:rsidRPr="002E041D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وفعاليات إطلاق المنتجات، وكذلك لإقامة المناسبات الخاصة</w:t>
      </w:r>
      <w:r w:rsidR="00C65478" w:rsidRPr="002E041D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</w:t>
      </w:r>
      <w:r w:rsidR="002E041D" w:rsidRPr="002E041D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ب</w:t>
      </w:r>
      <w:r w:rsidR="00C65478" w:rsidRPr="002E041D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الشركات.</w:t>
      </w:r>
      <w:r w:rsidR="002E041D" w:rsidRPr="002E041D">
        <w:rPr>
          <w:rFonts w:ascii="Neo Sans Arabic" w:eastAsia="Times New Roman" w:hAnsi="Neo Sans Arabic" w:cs="Neo Sans Arabic"/>
          <w:sz w:val="24"/>
          <w:szCs w:val="24"/>
          <w:lang w:val="en-GB" w:bidi="ar-SY"/>
        </w:rPr>
        <w:t xml:space="preserve"> </w:t>
      </w:r>
    </w:p>
    <w:p w:rsidR="00A520F3" w:rsidRDefault="00A520F3" w:rsidP="00A520F3">
      <w:pPr>
        <w:pStyle w:val="PlainText"/>
        <w:spacing w:line="276" w:lineRule="auto"/>
        <w:rPr>
          <w:rFonts w:ascii="Klavika Light" w:eastAsia="MS Mincho" w:hAnsi="Klavika Light" w:cs="Arial"/>
          <w:sz w:val="24"/>
          <w:szCs w:val="24"/>
          <w:lang w:val="en-GB"/>
        </w:rPr>
      </w:pPr>
    </w:p>
    <w:p w:rsidR="006C7A33" w:rsidRDefault="006C7A33" w:rsidP="006C7A33">
      <w:pPr>
        <w:pStyle w:val="PlainText"/>
        <w:bidi/>
        <w:spacing w:line="276" w:lineRule="auto"/>
        <w:jc w:val="both"/>
        <w:rPr>
          <w:rFonts w:ascii="Neo Sans Arabic" w:eastAsia="Times New Roman" w:hAnsi="Neo Sans Arabic" w:cs="Neo Sans Arabic"/>
          <w:sz w:val="24"/>
          <w:szCs w:val="24"/>
          <w:lang w:val="en-GB" w:bidi="ar-SY"/>
        </w:rPr>
      </w:pPr>
      <w:r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وتتميز</w:t>
      </w:r>
      <w:r w:rsidR="000F75E2" w:rsidRPr="000F75E2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</w:t>
      </w:r>
      <w:r w:rsidR="000F75E2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عروض </w:t>
      </w:r>
      <w:r w:rsidR="000F75E2" w:rsidRPr="008010DF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الحوافز والمؤتمرات والمعارض</w:t>
      </w:r>
      <w:r w:rsidR="000F75E2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في</w:t>
      </w:r>
      <w:r w:rsidR="00735DFD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"دبي باركس آند ريز</w:t>
      </w:r>
      <w:r w:rsidR="00A14912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و</w:t>
      </w:r>
      <w:r w:rsidR="00735DFD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ر</w:t>
      </w:r>
      <w:r w:rsidR="00A14912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تس"، </w:t>
      </w:r>
      <w:r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بإمكانية تحويل </w:t>
      </w:r>
    </w:p>
    <w:p w:rsidR="004F5B63" w:rsidRDefault="007D75A4" w:rsidP="007B53F5">
      <w:pPr>
        <w:pStyle w:val="PlainText"/>
        <w:bidi/>
        <w:spacing w:line="276" w:lineRule="auto"/>
        <w:jc w:val="both"/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</w:pPr>
      <w:r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مكان</w:t>
      </w:r>
      <w:r w:rsidR="000A4962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مخصص</w:t>
      </w:r>
      <w:r w:rsidR="000F75E2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</w:t>
      </w:r>
      <w:r w:rsidR="000A4962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ل</w:t>
      </w:r>
      <w:r w:rsidR="006C7A33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ألعاب</w:t>
      </w:r>
      <w:r w:rsidR="000F75E2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</w:t>
      </w:r>
      <w:r w:rsidR="006C7A33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ال</w:t>
      </w:r>
      <w:r w:rsidR="000F75E2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ركوب</w:t>
      </w:r>
      <w:r w:rsidR="000A4962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</w:t>
      </w:r>
      <w:r w:rsidR="002B4729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إلى </w:t>
      </w:r>
      <w:r w:rsidR="006C7A33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مكان </w:t>
      </w:r>
      <w:r w:rsidR="002B4729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للفعاليات حسب الطلب. </w:t>
      </w:r>
      <w:r w:rsidR="00FC06BB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وفي هذا السياق قال جوليان مونوز،</w:t>
      </w:r>
      <w:r w:rsidR="000C71F0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</w:t>
      </w:r>
      <w:r w:rsidR="000C71F0" w:rsidRPr="000C71F0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>نائب الرئيس لشؤون المبيعات في</w:t>
      </w:r>
      <w:r w:rsidR="000C71F0" w:rsidRPr="000C71F0">
        <w:rPr>
          <w:rFonts w:ascii="Neo Sans Arabic" w:eastAsia="Times New Roman" w:hAnsi="Neo Sans Arabic" w:cs="Neo Sans Arabic"/>
          <w:sz w:val="24"/>
          <w:szCs w:val="24"/>
          <w:lang w:val="en-GB" w:bidi="ar-SY"/>
        </w:rPr>
        <w:t xml:space="preserve"> “</w:t>
      </w:r>
      <w:r w:rsidR="000C71F0" w:rsidRPr="000C71F0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>دبي باركس آند ريزورتس</w:t>
      </w:r>
      <w:r w:rsidR="000C71F0" w:rsidRPr="000C71F0">
        <w:rPr>
          <w:rFonts w:ascii="Neo Sans Arabic" w:eastAsia="Times New Roman" w:hAnsi="Neo Sans Arabic" w:cs="Neo Sans Arabic"/>
          <w:sz w:val="24"/>
          <w:szCs w:val="24"/>
          <w:lang w:val="en-GB" w:bidi="ar-SY"/>
        </w:rPr>
        <w:t>”</w:t>
      </w:r>
      <w:r w:rsidR="000C71F0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: "</w:t>
      </w:r>
      <w:r w:rsidR="00E41D0C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تخيل</w:t>
      </w:r>
      <w:r w:rsidR="006C7A33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إقامة</w:t>
      </w:r>
      <w:r w:rsidR="00E41D0C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حفل زفافك</w:t>
      </w:r>
      <w:r w:rsidR="00EC30D3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</w:t>
      </w:r>
      <w:r w:rsidR="00EC30D3" w:rsidRPr="00CA4404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داخل </w:t>
      </w:r>
      <w:r w:rsidR="000C48CC" w:rsidRPr="00CA4404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"</w:t>
      </w:r>
      <w:r w:rsidR="00FF531C" w:rsidRPr="00CA4404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قصر </w:t>
      </w:r>
      <w:r w:rsidR="000C48CC" w:rsidRPr="00CA4404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فندق</w:t>
      </w:r>
      <w:r w:rsidR="000C48CC" w:rsidRPr="00CA4404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="000C48CC" w:rsidRPr="00CA4404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ترانسيلفانيا" </w:t>
      </w:r>
      <w:r w:rsidR="00FF531C" w:rsidRPr="00CA4404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أو </w:t>
      </w:r>
      <w:r w:rsidR="006C7A33" w:rsidRPr="00CA4404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القيام</w:t>
      </w:r>
      <w:r w:rsidR="006C7A33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ب</w:t>
      </w:r>
      <w:r w:rsidR="00CE1174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نزهة ل</w:t>
      </w:r>
      <w:r w:rsidR="00296F66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فريق عمل شركتك</w:t>
      </w:r>
      <w:r w:rsidR="00CE1174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</w:t>
      </w:r>
      <w:r w:rsidR="009D1771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في "محطة قطار بوليوود. </w:t>
      </w:r>
      <w:r w:rsidR="004A02F8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ل</w:t>
      </w:r>
      <w:r w:rsidR="00CD21E6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ي</w:t>
      </w:r>
      <w:r w:rsidR="004A02F8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س هذا فح</w:t>
      </w:r>
      <w:r w:rsidR="00AC0DE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س</w:t>
      </w:r>
      <w:r w:rsidR="004A02F8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ب، بل </w:t>
      </w:r>
      <w:r w:rsidR="00424B88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نمتلك أيضاً خدماتنا الخاصة </w:t>
      </w:r>
      <w:r w:rsidR="006C7A33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لتقديم تشكيلة</w:t>
      </w:r>
      <w:r w:rsidR="00424B88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واسعة من أشهى الأطباق والمأكولات </w:t>
      </w:r>
      <w:r w:rsidR="006C7A33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العالمية. </w:t>
      </w:r>
      <w:r w:rsidR="0016189B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ويمكن لفريق عملنا المتخصص بالمناسبات والفعاليات تحويل أي فعالية خاصة أو فعالية شركات إلى تجربة مذهلة وفريدة</w:t>
      </w:r>
      <w:r w:rsidR="002E041D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من نوعها</w:t>
      </w:r>
      <w:r w:rsidR="00D12F51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".</w:t>
      </w:r>
    </w:p>
    <w:p w:rsidR="002E041D" w:rsidRDefault="002E041D" w:rsidP="002E041D">
      <w:pPr>
        <w:pStyle w:val="PlainText"/>
        <w:bidi/>
        <w:spacing w:line="276" w:lineRule="auto"/>
        <w:jc w:val="both"/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</w:pPr>
    </w:p>
    <w:p w:rsidR="00291F5B" w:rsidRDefault="005B29F1" w:rsidP="006E702C">
      <w:pPr>
        <w:pStyle w:val="PlainText"/>
        <w:bidi/>
        <w:spacing w:line="276" w:lineRule="auto"/>
        <w:jc w:val="both"/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</w:pPr>
      <w:r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وأضاف</w:t>
      </w:r>
      <w:r w:rsidR="00527829" w:rsidRPr="00FE34B5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مونوز: "</w:t>
      </w:r>
      <w:r w:rsidR="006E702C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تكتسب دبي أهمية متزايدة باعتبارها </w:t>
      </w:r>
      <w:r w:rsidR="00FE34B5" w:rsidRPr="00FE34B5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وجهة</w:t>
      </w:r>
      <w:r w:rsidR="006E702C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مثالية</w:t>
      </w:r>
      <w:r w:rsidR="00FE34B5" w:rsidRPr="00FE34B5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ل</w:t>
      </w:r>
      <w:r w:rsidR="00FE34B5" w:rsidRPr="008010DF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سياحة الحوافز والمؤتمرات والمعارض</w:t>
      </w:r>
      <w:r w:rsidR="006E702C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، نظراً </w:t>
      </w:r>
      <w:r w:rsidR="00FE34B5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</w:t>
      </w:r>
      <w:r w:rsidR="006E702C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للبن</w:t>
      </w:r>
      <w:r w:rsidR="00E4745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ية </w:t>
      </w:r>
      <w:r w:rsidR="006E702C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ال</w:t>
      </w:r>
      <w:r w:rsidR="00E4745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تحتية </w:t>
      </w:r>
      <w:r w:rsidR="006E702C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ال</w:t>
      </w:r>
      <w:r w:rsidR="00E4745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متطورة،</w:t>
      </w:r>
      <w:r w:rsidR="006E702C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وإقامة العديد من المعارض  </w:t>
      </w:r>
      <w:r w:rsidR="00E4745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الضخمة</w:t>
      </w:r>
      <w:r w:rsidR="006E702C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،</w:t>
      </w:r>
      <w:r w:rsidR="00E4745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وموقعها الجاذب </w:t>
      </w:r>
      <w:r w:rsidR="009D7A8F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للباحثين عن فرص ا</w:t>
      </w:r>
      <w:r w:rsidR="003E6A3E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ستثمارية من كافة أرجاء العالم، </w:t>
      </w:r>
      <w:r w:rsidR="006E702C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إضافة إلى ال</w:t>
      </w:r>
      <w:r w:rsidR="00441369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تطو</w:t>
      </w:r>
      <w:r w:rsidR="009D7A8F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ير</w:t>
      </w:r>
      <w:r w:rsidR="006E702C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المستمر</w:t>
      </w:r>
      <w:r w:rsidR="009D7A8F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</w:t>
      </w:r>
      <w:r w:rsidR="006E702C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ل</w:t>
      </w:r>
      <w:r w:rsidR="009D7A8F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معالم </w:t>
      </w:r>
      <w:r w:rsidR="006E702C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ال</w:t>
      </w:r>
      <w:r w:rsidR="009D7A8F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جذب </w:t>
      </w:r>
      <w:r w:rsidR="006E702C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ال</w:t>
      </w:r>
      <w:r w:rsidR="009D7A8F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سيا</w:t>
      </w:r>
      <w:r w:rsidR="006E702C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حية مثل </w:t>
      </w:r>
      <w:r w:rsidR="00CA4404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"دبي باركس آند ريزورتس"، ولذلك </w:t>
      </w:r>
      <w:r w:rsidR="006E702C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قدمنا هذه الخدمات لمواكبة هذا القطاع المتنامي من الأعمال وتعزيز مكانتنا </w:t>
      </w:r>
      <w:r w:rsidR="0062790A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كأحد أكبر اللاعبين في قطاع </w:t>
      </w:r>
      <w:r w:rsidR="0062790A" w:rsidRPr="008010DF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الحوافز والمؤتمرات والمعارض</w:t>
      </w:r>
      <w:r w:rsidR="0062790A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".</w:t>
      </w:r>
    </w:p>
    <w:p w:rsidR="002E041D" w:rsidRDefault="002E041D" w:rsidP="002E041D">
      <w:pPr>
        <w:pStyle w:val="PlainText"/>
        <w:bidi/>
        <w:spacing w:line="276" w:lineRule="auto"/>
        <w:jc w:val="both"/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</w:pPr>
    </w:p>
    <w:p w:rsidR="00C0461A" w:rsidRDefault="002E041D" w:rsidP="0070195A">
      <w:pPr>
        <w:pStyle w:val="PlainText"/>
        <w:bidi/>
        <w:spacing w:line="276" w:lineRule="auto"/>
        <w:jc w:val="both"/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</w:pPr>
      <w:r w:rsidRPr="0070195A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ومن المتوقع أن تصبح </w:t>
      </w:r>
      <w:r w:rsidR="00E3161F" w:rsidRPr="0070195A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دبي مركزاً لقطاع الحوافز والمؤتمرات والمعارض</w:t>
      </w:r>
      <w:r w:rsidR="00723C06" w:rsidRPr="0070195A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في منطقة الشرق الأوسط</w:t>
      </w:r>
      <w:r w:rsidR="00523304" w:rsidRPr="0070195A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،</w:t>
      </w:r>
      <w:r w:rsidR="0070195A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كما تهدف </w:t>
      </w:r>
      <w:r w:rsidR="00C0461A" w:rsidRPr="0070195A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رؤية دبي السياحية 2020 </w:t>
      </w:r>
      <w:r w:rsidR="0070195A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إ</w:t>
      </w:r>
      <w:r w:rsidR="00A11CB1" w:rsidRPr="0070195A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لى مضاعفة أعداد زوار دبي </w:t>
      </w:r>
      <w:r w:rsidR="00C0461A" w:rsidRPr="0070195A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سنوياً </w:t>
      </w:r>
      <w:r w:rsidR="00A11CB1" w:rsidRPr="0070195A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من 10 مليون زائر عام</w:t>
      </w:r>
      <w:r w:rsidR="00E3161F" w:rsidRPr="0070195A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2012 إلى 20 مليون </w:t>
      </w:r>
      <w:r w:rsidR="0070195A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زائر </w:t>
      </w:r>
      <w:r w:rsidR="00E3161F" w:rsidRPr="0070195A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بحلول 2020، بما يعكس </w:t>
      </w:r>
      <w:r w:rsidR="0070195A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ال</w:t>
      </w:r>
      <w:r w:rsidR="00E3161F" w:rsidRPr="0070195A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ضرورة</w:t>
      </w:r>
      <w:r w:rsidR="0070195A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الملحة</w:t>
      </w:r>
      <w:r w:rsidR="00E3161F" w:rsidRPr="0070195A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</w:t>
      </w:r>
      <w:r w:rsidR="0070195A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إلى توفير </w:t>
      </w:r>
      <w:r w:rsidR="00E3161F" w:rsidRPr="0070195A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مزيد من </w:t>
      </w:r>
      <w:r w:rsidR="0070195A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ال</w:t>
      </w:r>
      <w:r w:rsidR="00E3161F" w:rsidRPr="0070195A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مساحات </w:t>
      </w:r>
      <w:r w:rsidR="0070195A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ل</w:t>
      </w:r>
      <w:r w:rsidR="00E3161F" w:rsidRPr="0070195A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لفعاليات والمناسبات</w:t>
      </w:r>
      <w:r w:rsidR="007559CD" w:rsidRPr="0070195A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في الإمارة</w:t>
      </w:r>
      <w:r w:rsidR="00E3161F" w:rsidRPr="0070195A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.</w:t>
      </w:r>
    </w:p>
    <w:p w:rsidR="002E041D" w:rsidRDefault="002E041D" w:rsidP="002E041D">
      <w:pPr>
        <w:pStyle w:val="PlainText"/>
        <w:bidi/>
        <w:spacing w:line="276" w:lineRule="auto"/>
        <w:jc w:val="both"/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</w:pPr>
    </w:p>
    <w:p w:rsidR="00CE6736" w:rsidRPr="00CE6736" w:rsidRDefault="00CE6736" w:rsidP="00CE6736">
      <w:pPr>
        <w:pStyle w:val="PlainText"/>
        <w:bidi/>
        <w:spacing w:line="276" w:lineRule="auto"/>
        <w:jc w:val="both"/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</w:pPr>
      <w:r w:rsidRPr="00CE6736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تضم "دبي باركس آند ريزورتس"، أكبر وجهة ترفيهية متكاملة في المنطقة، 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>ثلاث منتزهات ترفيهية هي:</w:t>
      </w:r>
      <w:r w:rsidRPr="00CE6736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>منتزه "موشنجيت دبي"</w:t>
      </w:r>
      <w:r w:rsidRPr="00CE6736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وهو منتزه ترفيهي فريد يكشف عن بعض شخصيات هوليوود المحبوبة من عالم "دريم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ووركس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أنيميشن" و"كولومبيا بيكتشرز" و"ليونزجيت"، و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منتزه "بوليوود باركس دبي"، المنتزه الترفيهي الأول من نوعه الذي يضم ألعاب ركوب ووجهات ترفيهيه من وحي </w:t>
      </w:r>
      <w:r w:rsidRPr="00CE6736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أضخم 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>أفلام بوليوود</w:t>
      </w:r>
      <w:r w:rsidRPr="00CE6736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، ، فضلاً عن 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>منتز</w:t>
      </w:r>
      <w:r w:rsidRPr="00CE6736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ه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"ليجولاند دبي"</w:t>
      </w:r>
      <w:r w:rsidRPr="00CE6736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المنتزه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الترفيهي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التفاعلي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الفريد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المستوحى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من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مكعبات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الليجو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الشهيرة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ليوفر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للعائلات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بيئة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تعليمية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مرحة، و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حديقة الألعاب المائية "ليجولاند ووتر بارك"، أول حديقة مائية مخصصة للعائلات والأطفال من 2 إلى 12 سنة</w:t>
      </w:r>
      <w:r w:rsidRPr="00CE6736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. </w:t>
      </w:r>
      <w:r w:rsidRPr="00CE6736">
        <w:rPr>
          <w:rFonts w:ascii="Neo Sans Arabic" w:eastAsia="Times New Roman" w:hAnsi="Neo Sans Arabic" w:cs="Neo Sans Arabic" w:hint="eastAsia"/>
          <w:sz w:val="24"/>
          <w:szCs w:val="24"/>
          <w:rtl/>
          <w:lang w:val="en-GB" w:bidi="ar-SY"/>
        </w:rPr>
        <w:t>و</w:t>
      </w:r>
      <w:r w:rsidRPr="00CE6736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ت</w:t>
      </w:r>
      <w:r w:rsidRPr="00CE6736">
        <w:rPr>
          <w:rFonts w:ascii="Neo Sans Arabic" w:eastAsia="Times New Roman" w:hAnsi="Neo Sans Arabic" w:cs="Neo Sans Arabic" w:hint="eastAsia"/>
          <w:sz w:val="24"/>
          <w:szCs w:val="24"/>
          <w:rtl/>
          <w:lang w:val="en-GB" w:bidi="ar-SY"/>
        </w:rPr>
        <w:t>رتبط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الوجهة الترفيهية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eastAsia"/>
          <w:sz w:val="24"/>
          <w:szCs w:val="24"/>
          <w:rtl/>
          <w:lang w:val="en-GB" w:bidi="ar-SY"/>
        </w:rPr>
        <w:t>بالكامل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eastAsia"/>
          <w:sz w:val="24"/>
          <w:szCs w:val="24"/>
          <w:rtl/>
          <w:lang w:val="en-GB" w:bidi="ar-SY"/>
        </w:rPr>
        <w:t>عبر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eastAsia"/>
          <w:sz w:val="24"/>
          <w:szCs w:val="24"/>
          <w:rtl/>
          <w:lang w:val="en-GB" w:bidi="ar-SY"/>
        </w:rPr>
        <w:t>مجّمع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"</w:t>
      </w:r>
      <w:r w:rsidRPr="00CE6736">
        <w:rPr>
          <w:rFonts w:ascii="Neo Sans Arabic" w:eastAsia="Times New Roman" w:hAnsi="Neo Sans Arabic" w:cs="Neo Sans Arabic" w:hint="eastAsia"/>
          <w:sz w:val="24"/>
          <w:szCs w:val="24"/>
          <w:rtl/>
          <w:lang w:val="en-GB" w:bidi="ar-SY"/>
        </w:rPr>
        <w:t>ريفرلاند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eastAsia"/>
          <w:sz w:val="24"/>
          <w:szCs w:val="24"/>
          <w:rtl/>
          <w:lang w:val="en-GB" w:bidi="ar-SY"/>
        </w:rPr>
        <w:t>دبي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" </w:t>
      </w:r>
      <w:r w:rsidRPr="00CE6736">
        <w:rPr>
          <w:rFonts w:ascii="Neo Sans Arabic" w:eastAsia="Times New Roman" w:hAnsi="Neo Sans Arabic" w:cs="Neo Sans Arabic" w:hint="eastAsia"/>
          <w:sz w:val="24"/>
          <w:szCs w:val="24"/>
          <w:rtl/>
          <w:lang w:val="en-GB" w:bidi="ar-SY"/>
        </w:rPr>
        <w:t>الفريد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eastAsia"/>
          <w:sz w:val="24"/>
          <w:szCs w:val="24"/>
          <w:rtl/>
          <w:lang w:val="en-GB" w:bidi="ar-SY"/>
        </w:rPr>
        <w:t>والمتكامل، الذي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eastAsia"/>
          <w:sz w:val="24"/>
          <w:szCs w:val="24"/>
          <w:rtl/>
          <w:lang w:val="en-GB" w:bidi="ar-SY"/>
        </w:rPr>
        <w:t>يحتضن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eastAsia"/>
          <w:sz w:val="24"/>
          <w:szCs w:val="24"/>
          <w:rtl/>
          <w:lang w:val="en-GB" w:bidi="ar-SY"/>
        </w:rPr>
        <w:t>العديد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eastAsia"/>
          <w:sz w:val="24"/>
          <w:szCs w:val="24"/>
          <w:rtl/>
          <w:lang w:val="en-GB" w:bidi="ar-SY"/>
        </w:rPr>
        <w:t>من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eastAsia"/>
          <w:sz w:val="24"/>
          <w:szCs w:val="24"/>
          <w:rtl/>
          <w:lang w:val="en-GB" w:bidi="ar-SY"/>
        </w:rPr>
        <w:t>المتاجر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eastAsia"/>
          <w:sz w:val="24"/>
          <w:szCs w:val="24"/>
          <w:rtl/>
          <w:lang w:val="en-GB" w:bidi="ar-SY"/>
        </w:rPr>
        <w:t>والمطاعم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eastAsia"/>
          <w:sz w:val="24"/>
          <w:szCs w:val="24"/>
          <w:rtl/>
          <w:lang w:val="en-GB" w:bidi="ar-SY"/>
        </w:rPr>
        <w:t>والوجهات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eastAsia"/>
          <w:sz w:val="24"/>
          <w:szCs w:val="24"/>
          <w:rtl/>
          <w:lang w:val="en-GB" w:bidi="ar-SY"/>
        </w:rPr>
        <w:t>الترفيه</w:t>
      </w:r>
      <w:r w:rsidRPr="00CE6736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،</w:t>
      </w:r>
      <w:r w:rsidRPr="00CE6736">
        <w:rPr>
          <w:rFonts w:ascii="Neo Sans Arabic" w:eastAsia="Times New Roman" w:hAnsi="Neo Sans Arabic" w:cs="Neo Sans Arabic"/>
          <w:sz w:val="24"/>
          <w:szCs w:val="24"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eastAsia"/>
          <w:sz w:val="24"/>
          <w:szCs w:val="24"/>
          <w:rtl/>
          <w:lang w:val="en-GB" w:bidi="ar-SY"/>
        </w:rPr>
        <w:t>فضلا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eastAsia"/>
          <w:sz w:val="24"/>
          <w:szCs w:val="24"/>
          <w:rtl/>
          <w:lang w:val="en-GB" w:bidi="ar-SY"/>
        </w:rPr>
        <w:t>عن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eastAsia"/>
          <w:sz w:val="24"/>
          <w:szCs w:val="24"/>
          <w:rtl/>
          <w:lang w:val="en-GB" w:bidi="ar-SY"/>
        </w:rPr>
        <w:t>فندق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"</w:t>
      </w:r>
      <w:r w:rsidRPr="00CE6736">
        <w:rPr>
          <w:rFonts w:ascii="Neo Sans Arabic" w:eastAsia="Times New Roman" w:hAnsi="Neo Sans Arabic" w:cs="Neo Sans Arabic" w:hint="eastAsia"/>
          <w:sz w:val="24"/>
          <w:szCs w:val="24"/>
          <w:rtl/>
          <w:lang w:val="en-GB" w:bidi="ar-SY"/>
        </w:rPr>
        <w:t>لابيتا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" </w:t>
      </w:r>
      <w:r w:rsidRPr="00CE6736">
        <w:rPr>
          <w:rFonts w:ascii="Neo Sans Arabic" w:eastAsia="Times New Roman" w:hAnsi="Neo Sans Arabic" w:cs="Neo Sans Arabic" w:hint="eastAsia"/>
          <w:sz w:val="24"/>
          <w:szCs w:val="24"/>
          <w:rtl/>
          <w:lang w:val="en-GB" w:bidi="ar-SY"/>
        </w:rPr>
        <w:t>العائلي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eastAsia"/>
          <w:sz w:val="24"/>
          <w:szCs w:val="24"/>
          <w:rtl/>
          <w:lang w:val="en-GB" w:bidi="ar-SY"/>
        </w:rPr>
        <w:t>المصمم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eastAsia"/>
          <w:sz w:val="24"/>
          <w:szCs w:val="24"/>
          <w:rtl/>
          <w:lang w:val="en-GB" w:bidi="ar-SY"/>
        </w:rPr>
        <w:t>على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eastAsia"/>
          <w:sz w:val="24"/>
          <w:szCs w:val="24"/>
          <w:rtl/>
          <w:lang w:val="en-GB" w:bidi="ar-SY"/>
        </w:rPr>
        <w:t>الطراز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eastAsia"/>
          <w:sz w:val="24"/>
          <w:szCs w:val="24"/>
          <w:rtl/>
          <w:lang w:val="en-GB" w:bidi="ar-SY"/>
        </w:rPr>
        <w:t>البولينيزي،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eastAsia"/>
          <w:sz w:val="24"/>
          <w:szCs w:val="24"/>
          <w:rtl/>
          <w:lang w:val="en-GB" w:bidi="ar-SY"/>
        </w:rPr>
        <w:t>وهو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eastAsia"/>
          <w:sz w:val="24"/>
          <w:szCs w:val="24"/>
          <w:rtl/>
          <w:lang w:val="en-GB" w:bidi="ar-SY"/>
        </w:rPr>
        <w:t>جزء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eastAsia"/>
          <w:sz w:val="24"/>
          <w:szCs w:val="24"/>
          <w:rtl/>
          <w:lang w:val="en-GB" w:bidi="ar-SY"/>
        </w:rPr>
        <w:t>من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eastAsia"/>
          <w:sz w:val="24"/>
          <w:szCs w:val="24"/>
          <w:rtl/>
          <w:lang w:val="en-GB" w:bidi="ar-SY"/>
        </w:rPr>
        <w:t>ماريوت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eastAsia"/>
          <w:sz w:val="24"/>
          <w:szCs w:val="24"/>
          <w:rtl/>
          <w:lang w:val="en-GB" w:bidi="ar-SY"/>
        </w:rPr>
        <w:t>أتو</w:t>
      </w:r>
      <w:r w:rsidRPr="00CE6736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ج</w:t>
      </w:r>
      <w:r w:rsidRPr="00CE6736">
        <w:rPr>
          <w:rFonts w:ascii="Neo Sans Arabic" w:eastAsia="Times New Roman" w:hAnsi="Neo Sans Arabic" w:cs="Neo Sans Arabic" w:hint="eastAsia"/>
          <w:sz w:val="24"/>
          <w:szCs w:val="24"/>
          <w:rtl/>
          <w:lang w:val="en-GB" w:bidi="ar-SY"/>
        </w:rPr>
        <w:t>راف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 w:hint="eastAsia"/>
          <w:sz w:val="24"/>
          <w:szCs w:val="24"/>
          <w:rtl/>
          <w:lang w:val="en-GB" w:bidi="ar-SY"/>
        </w:rPr>
        <w:t>كوليكشن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>.</w:t>
      </w:r>
      <w:r w:rsidRPr="00CE6736">
        <w:rPr>
          <w:rFonts w:ascii="Neo Sans Arabic" w:eastAsia="Times New Roman" w:hAnsi="Neo Sans Arabic" w:cs="Neo Sans Arabic"/>
          <w:sz w:val="24"/>
          <w:szCs w:val="24"/>
          <w:lang w:val="en-GB" w:bidi="ar-SY"/>
        </w:rPr>
        <w:t xml:space="preserve"> 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وسوف يكون منتزه "سيكس فلاجز دبي"، والمقرر </w:t>
      </w:r>
      <w:r w:rsidRPr="00CE6736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ا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فتتاحه في أواخر 2019، رابع المنتزهات الترفيهية المتعددة </w:t>
      </w:r>
      <w:r w:rsidRPr="00CE6736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ضمن</w:t>
      </w:r>
      <w:r w:rsidRPr="00CE6736">
        <w:rPr>
          <w:rFonts w:ascii="Neo Sans Arabic" w:eastAsia="Times New Roman" w:hAnsi="Neo Sans Arabic" w:cs="Neo Sans Arabic"/>
          <w:sz w:val="24"/>
          <w:szCs w:val="24"/>
          <w:rtl/>
          <w:lang w:val="en-GB" w:bidi="ar-SY"/>
        </w:rPr>
        <w:t xml:space="preserve"> "دبي باركس آند ريزورتس"</w:t>
      </w:r>
      <w:r w:rsidRPr="00CE6736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، وأول منتزهات مجموعة "سيكس فلاجز" في المنطقة.</w:t>
      </w:r>
    </w:p>
    <w:p w:rsidR="004269CF" w:rsidRDefault="004269CF" w:rsidP="00601F05">
      <w:pPr>
        <w:pStyle w:val="PlainText"/>
        <w:bidi/>
        <w:spacing w:line="276" w:lineRule="auto"/>
        <w:jc w:val="both"/>
        <w:rPr>
          <w:rFonts w:asciiTheme="minorHAnsi" w:hAnsiTheme="minorHAnsi"/>
          <w:szCs w:val="22"/>
          <w:rtl/>
          <w:lang w:bidi="ar-SY"/>
        </w:rPr>
      </w:pPr>
    </w:p>
    <w:p w:rsidR="00601F05" w:rsidRPr="00601F05" w:rsidRDefault="00601F05" w:rsidP="004269CF">
      <w:pPr>
        <w:pStyle w:val="PlainText"/>
        <w:bidi/>
        <w:spacing w:line="276" w:lineRule="auto"/>
        <w:jc w:val="both"/>
        <w:rPr>
          <w:rFonts w:ascii="Neo Sans Arabic" w:eastAsia="Times New Roman" w:hAnsi="Neo Sans Arabic" w:cs="Neo Sans Arabic"/>
          <w:sz w:val="24"/>
          <w:szCs w:val="24"/>
          <w:lang w:val="en-GB" w:bidi="ar-SY"/>
        </w:rPr>
      </w:pPr>
      <w:r w:rsidRPr="00601F05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>للمزيد من المعلومات حول عروض الحوافز والمؤتمرات والمعارض</w:t>
      </w:r>
      <w:r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 والباقات المتاحة يمكنكم زيارة الموقع الإلكتروني  </w:t>
      </w:r>
      <w:hyperlink r:id="rId8" w:history="1">
        <w:r w:rsidRPr="00662F5D">
          <w:rPr>
            <w:rStyle w:val="Hyperlink"/>
            <w:rFonts w:ascii="Klavika Light" w:eastAsia="MS Mincho" w:hAnsi="Klavika Light" w:cs="Arial"/>
            <w:sz w:val="24"/>
            <w:szCs w:val="24"/>
            <w:lang w:val="en-GB"/>
          </w:rPr>
          <w:t>www.dubaiparksandresorts.com</w:t>
        </w:r>
      </w:hyperlink>
      <w:r>
        <w:rPr>
          <w:rFonts w:ascii="Klavika Light" w:eastAsia="MS Mincho" w:hAnsi="Klavika Light" w:cs="Arial" w:hint="cs"/>
          <w:sz w:val="24"/>
          <w:szCs w:val="24"/>
          <w:rtl/>
          <w:lang w:val="en-GB"/>
        </w:rPr>
        <w:t xml:space="preserve"> </w:t>
      </w:r>
      <w:r w:rsidRPr="00601F05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أو الاتصال من داخل الإمارات على الرقم </w:t>
      </w:r>
      <w:r w:rsidRPr="00601F05">
        <w:rPr>
          <w:rFonts w:ascii="Neo Sans Arabic" w:eastAsia="Times New Roman" w:hAnsi="Neo Sans Arabic" w:cs="Neo Sans Arabic"/>
          <w:sz w:val="24"/>
          <w:szCs w:val="24"/>
          <w:lang w:val="en-GB" w:bidi="ar-SY"/>
        </w:rPr>
        <w:t>800-Amazing</w:t>
      </w:r>
      <w:r w:rsidRPr="00601F05">
        <w:rPr>
          <w:rFonts w:ascii="Neo Sans Arabic" w:eastAsia="Times New Roman" w:hAnsi="Neo Sans Arabic" w:cs="Neo Sans Arabic" w:hint="cs"/>
          <w:sz w:val="24"/>
          <w:szCs w:val="24"/>
          <w:rtl/>
          <w:lang w:val="en-GB" w:bidi="ar-SY"/>
        </w:rPr>
        <w:t xml:space="preserve">. </w:t>
      </w:r>
    </w:p>
    <w:p w:rsidR="00A0365C" w:rsidRDefault="00601F05" w:rsidP="00601F05">
      <w:pPr>
        <w:pStyle w:val="PlainText"/>
        <w:bidi/>
        <w:spacing w:line="276" w:lineRule="auto"/>
        <w:jc w:val="center"/>
        <w:rPr>
          <w:rFonts w:ascii="Neo Sans Arabic" w:eastAsia="Times New Roman" w:hAnsi="Neo Sans Arabic" w:cs="Neo Sans Arabic"/>
          <w:b/>
          <w:bCs/>
          <w:sz w:val="24"/>
          <w:szCs w:val="24"/>
          <w:rtl/>
          <w:lang w:val="en-GB" w:bidi="ar-SY"/>
        </w:rPr>
      </w:pPr>
      <w:r w:rsidRPr="004269CF">
        <w:rPr>
          <w:rFonts w:ascii="Neo Sans Arabic" w:eastAsia="Times New Roman" w:hAnsi="Neo Sans Arabic" w:cs="Neo Sans Arabic" w:hint="cs"/>
          <w:b/>
          <w:bCs/>
          <w:sz w:val="24"/>
          <w:szCs w:val="24"/>
          <w:rtl/>
          <w:lang w:val="en-GB" w:bidi="ar-SY"/>
        </w:rPr>
        <w:lastRenderedPageBreak/>
        <w:t>-انتهى-</w:t>
      </w:r>
    </w:p>
    <w:p w:rsidR="006F2AA3" w:rsidRDefault="006F2AA3" w:rsidP="006F2AA3">
      <w:pPr>
        <w:pStyle w:val="PlainText"/>
        <w:bidi/>
        <w:spacing w:line="276" w:lineRule="auto"/>
        <w:jc w:val="center"/>
        <w:rPr>
          <w:rFonts w:ascii="Neo Sans Arabic" w:eastAsia="Times New Roman" w:hAnsi="Neo Sans Arabic" w:cs="Neo Sans Arabic"/>
          <w:b/>
          <w:bCs/>
          <w:sz w:val="24"/>
          <w:szCs w:val="24"/>
          <w:lang w:val="en-GB" w:bidi="ar-SY"/>
        </w:rPr>
      </w:pPr>
    </w:p>
    <w:p w:rsidR="00311C13" w:rsidRPr="00AA3E4C" w:rsidRDefault="00311C13" w:rsidP="00FF7F25">
      <w:pPr>
        <w:bidi/>
        <w:jc w:val="both"/>
        <w:rPr>
          <w:rFonts w:ascii="Tahoma" w:eastAsia="Times New Roman" w:hAnsi="Tahoma" w:cs="Tahoma"/>
          <w:b/>
          <w:bCs/>
          <w:sz w:val="20"/>
          <w:szCs w:val="20"/>
          <w:lang w:val="en-GB" w:bidi="ar-SY"/>
        </w:rPr>
      </w:pPr>
      <w:r w:rsidRPr="00AA3E4C">
        <w:rPr>
          <w:rFonts w:ascii="Tahoma" w:eastAsia="Times New Roman" w:hAnsi="Tahoma" w:cs="Tahoma"/>
          <w:b/>
          <w:bCs/>
          <w:sz w:val="20"/>
          <w:szCs w:val="20"/>
          <w:rtl/>
          <w:lang w:val="en-GB" w:bidi="ar-SY"/>
        </w:rPr>
        <w:t>حول  "دبي باركس آند ريزورتس"</w:t>
      </w:r>
    </w:p>
    <w:p w:rsidR="00311C13" w:rsidRPr="00AA3E4C" w:rsidRDefault="00311C13" w:rsidP="00311C13">
      <w:pPr>
        <w:bidi/>
        <w:jc w:val="both"/>
        <w:rPr>
          <w:rFonts w:ascii="Tahoma" w:eastAsia="Times New Roman" w:hAnsi="Tahoma" w:cs="Tahoma"/>
          <w:sz w:val="20"/>
          <w:szCs w:val="20"/>
          <w:lang w:val="en-GB" w:bidi="ar-SY"/>
        </w:rPr>
      </w:pPr>
      <w:r w:rsidRPr="00AA3E4C">
        <w:rPr>
          <w:rFonts w:ascii="Tahoma" w:eastAsia="Times New Roman" w:hAnsi="Tahoma" w:cs="Tahoma"/>
          <w:sz w:val="20"/>
          <w:szCs w:val="20"/>
          <w:rtl/>
          <w:lang w:val="en-GB" w:bidi="ar-SY"/>
        </w:rPr>
        <w:t>تعد "دبي باركس آند ريزورتس"</w:t>
      </w:r>
      <w:r w:rsidRPr="00AA3E4C">
        <w:rPr>
          <w:rFonts w:ascii="Tahoma" w:eastAsia="Times New Roman" w:hAnsi="Tahoma" w:cs="Tahoma"/>
          <w:sz w:val="20"/>
          <w:szCs w:val="20"/>
          <w:lang w:val="en-GB" w:bidi="ar-SY"/>
        </w:rPr>
        <w:t xml:space="preserve"> </w:t>
      </w:r>
      <w:r w:rsidRPr="00AA3E4C">
        <w:rPr>
          <w:rFonts w:ascii="Tahoma" w:eastAsia="Times New Roman" w:hAnsi="Tahoma" w:cs="Tahoma"/>
          <w:sz w:val="20"/>
          <w:szCs w:val="20"/>
          <w:rtl/>
          <w:lang w:val="en-GB" w:bidi="ar-SY"/>
        </w:rPr>
        <w:t>التابعة لشركة "دي إكس بي إنترتينمينتس" ش.م.ع</w:t>
      </w:r>
      <w:r w:rsidRPr="00AA3E4C">
        <w:rPr>
          <w:rFonts w:ascii="Tahoma" w:eastAsia="Times New Roman" w:hAnsi="Tahoma" w:cs="Tahoma"/>
          <w:sz w:val="20"/>
          <w:szCs w:val="20"/>
          <w:rtl/>
          <w:lang w:val="en-GB" w:bidi="ar-AE"/>
        </w:rPr>
        <w:t xml:space="preserve">، </w:t>
      </w:r>
      <w:r w:rsidRPr="00AA3E4C">
        <w:rPr>
          <w:rFonts w:ascii="Tahoma" w:eastAsia="Times New Roman" w:hAnsi="Tahoma" w:cs="Tahoma"/>
          <w:sz w:val="20"/>
          <w:szCs w:val="20"/>
          <w:rtl/>
          <w:lang w:val="en-GB" w:bidi="ar-SY"/>
        </w:rPr>
        <w:t>أكبر وجهة ترفيهية متكاملة في منطقة الشرق الأوسط، حيث تشتمل على ثلاثة منتزهات ترفيهية هي: منتز</w:t>
      </w:r>
      <w:r w:rsidRPr="00AA3E4C">
        <w:rPr>
          <w:rFonts w:ascii="Tahoma" w:eastAsia="Times New Roman" w:hAnsi="Tahoma" w:cs="Tahoma"/>
          <w:sz w:val="20"/>
          <w:szCs w:val="20"/>
          <w:rtl/>
          <w:lang w:val="en-GB" w:bidi="ar-AE"/>
        </w:rPr>
        <w:t>ه</w:t>
      </w:r>
      <w:r w:rsidRPr="00AA3E4C">
        <w:rPr>
          <w:rFonts w:ascii="Tahoma" w:eastAsia="Times New Roman" w:hAnsi="Tahoma" w:cs="Tahoma"/>
          <w:sz w:val="20"/>
          <w:szCs w:val="20"/>
          <w:rtl/>
          <w:lang w:val="en-GB" w:bidi="ar-SY"/>
        </w:rPr>
        <w:t xml:space="preserve"> "موشنجيت دبي" </w:t>
      </w:r>
      <w:r w:rsidRPr="00AA3E4C">
        <w:rPr>
          <w:rFonts w:ascii="Tahoma" w:eastAsia="Times New Roman" w:hAnsi="Tahoma" w:cs="Tahoma"/>
          <w:sz w:val="20"/>
          <w:szCs w:val="20"/>
          <w:lang w:val="en-GB" w:bidi="ar-SY"/>
        </w:rPr>
        <w:t xml:space="preserve"> </w:t>
      </w:r>
      <w:r w:rsidRPr="00AA3E4C">
        <w:rPr>
          <w:rFonts w:ascii="Tahoma" w:eastAsia="Times New Roman" w:hAnsi="Tahoma" w:cs="Tahoma"/>
          <w:sz w:val="20"/>
          <w:szCs w:val="20"/>
          <w:rtl/>
          <w:lang w:val="en-GB" w:bidi="ar-AE"/>
        </w:rPr>
        <w:t xml:space="preserve">أكبر </w:t>
      </w:r>
      <w:r w:rsidRPr="00AA3E4C">
        <w:rPr>
          <w:rFonts w:ascii="Tahoma" w:eastAsia="Calibri" w:hAnsi="Tahoma" w:cs="Tahoma"/>
          <w:sz w:val="20"/>
          <w:szCs w:val="20"/>
          <w:rtl/>
          <w:lang w:val="en-GB" w:bidi="ar-SY"/>
        </w:rPr>
        <w:t>منتزه ترفيهي مستوحى من أجواء هوليوود الشيقة في المنطقة ويضم ألعاباً ووجهات من وحي أفلام هوليوود الشهيرة</w:t>
      </w:r>
      <w:r w:rsidRPr="00AA3E4C">
        <w:rPr>
          <w:rFonts w:ascii="Tahoma" w:eastAsia="Times New Roman" w:hAnsi="Tahoma" w:cs="Tahoma"/>
          <w:sz w:val="20"/>
          <w:szCs w:val="20"/>
          <w:rtl/>
          <w:lang w:val="en-GB" w:bidi="ar-AE"/>
        </w:rPr>
        <w:t xml:space="preserve">، </w:t>
      </w:r>
      <w:r w:rsidRPr="00AA3E4C">
        <w:rPr>
          <w:rFonts w:ascii="Tahoma" w:eastAsia="Times New Roman" w:hAnsi="Tahoma" w:cs="Tahoma"/>
          <w:sz w:val="20"/>
          <w:szCs w:val="20"/>
          <w:rtl/>
          <w:lang w:val="en-GB" w:bidi="ar-SY"/>
        </w:rPr>
        <w:t xml:space="preserve">ومنتزة "ليجولاند دبي"، </w:t>
      </w:r>
      <w:r w:rsidRPr="00E44602">
        <w:rPr>
          <w:rFonts w:ascii="Tahoma" w:eastAsia="Times New Roman" w:hAnsi="Tahoma" w:cs="Tahoma" w:hint="cs"/>
          <w:sz w:val="20"/>
          <w:szCs w:val="20"/>
          <w:rtl/>
          <w:lang w:val="en-GB" w:bidi="ar-SY"/>
        </w:rPr>
        <w:t>المنتزه</w:t>
      </w:r>
      <w:r w:rsidRPr="00E44602">
        <w:rPr>
          <w:rFonts w:ascii="Tahoma" w:eastAsia="Times New Roman" w:hAnsi="Tahoma" w:cs="Tahoma"/>
          <w:sz w:val="20"/>
          <w:szCs w:val="20"/>
          <w:rtl/>
          <w:lang w:val="en-GB" w:bidi="ar-SY"/>
        </w:rPr>
        <w:t xml:space="preserve"> </w:t>
      </w:r>
      <w:r w:rsidRPr="00E44602">
        <w:rPr>
          <w:rFonts w:ascii="Tahoma" w:eastAsia="Times New Roman" w:hAnsi="Tahoma" w:cs="Tahoma" w:hint="cs"/>
          <w:sz w:val="20"/>
          <w:szCs w:val="20"/>
          <w:rtl/>
          <w:lang w:val="en-GB" w:bidi="ar-SY"/>
        </w:rPr>
        <w:t>الترفيهي</w:t>
      </w:r>
      <w:r w:rsidRPr="00E44602">
        <w:rPr>
          <w:rFonts w:ascii="Tahoma" w:eastAsia="Times New Roman" w:hAnsi="Tahoma" w:cs="Tahoma"/>
          <w:sz w:val="20"/>
          <w:szCs w:val="20"/>
          <w:rtl/>
          <w:lang w:val="en-GB" w:bidi="ar-SY"/>
        </w:rPr>
        <w:t xml:space="preserve"> </w:t>
      </w:r>
      <w:r w:rsidRPr="00E44602">
        <w:rPr>
          <w:rFonts w:ascii="Tahoma" w:eastAsia="Times New Roman" w:hAnsi="Tahoma" w:cs="Tahoma" w:hint="cs"/>
          <w:sz w:val="20"/>
          <w:szCs w:val="20"/>
          <w:rtl/>
          <w:lang w:val="en-GB" w:bidi="ar-SY"/>
        </w:rPr>
        <w:t>التفاعلي</w:t>
      </w:r>
      <w:r w:rsidRPr="00E44602">
        <w:rPr>
          <w:rFonts w:ascii="Tahoma" w:eastAsia="Times New Roman" w:hAnsi="Tahoma" w:cs="Tahoma"/>
          <w:sz w:val="20"/>
          <w:szCs w:val="20"/>
          <w:rtl/>
          <w:lang w:val="en-GB" w:bidi="ar-SY"/>
        </w:rPr>
        <w:t xml:space="preserve"> </w:t>
      </w:r>
      <w:r w:rsidRPr="00E44602">
        <w:rPr>
          <w:rFonts w:ascii="Tahoma" w:eastAsia="Times New Roman" w:hAnsi="Tahoma" w:cs="Tahoma" w:hint="cs"/>
          <w:sz w:val="20"/>
          <w:szCs w:val="20"/>
          <w:rtl/>
          <w:lang w:val="en-GB" w:bidi="ar-SY"/>
        </w:rPr>
        <w:t>الفريد</w:t>
      </w:r>
      <w:r w:rsidRPr="00E44602">
        <w:rPr>
          <w:rFonts w:ascii="Tahoma" w:eastAsia="Times New Roman" w:hAnsi="Tahoma" w:cs="Tahoma"/>
          <w:sz w:val="20"/>
          <w:szCs w:val="20"/>
          <w:rtl/>
          <w:lang w:val="en-GB" w:bidi="ar-SY"/>
        </w:rPr>
        <w:t xml:space="preserve"> </w:t>
      </w:r>
      <w:r w:rsidRPr="00E44602">
        <w:rPr>
          <w:rFonts w:ascii="Tahoma" w:eastAsia="Times New Roman" w:hAnsi="Tahoma" w:cs="Tahoma" w:hint="cs"/>
          <w:sz w:val="20"/>
          <w:szCs w:val="20"/>
          <w:rtl/>
          <w:lang w:val="en-GB" w:bidi="ar-SY"/>
        </w:rPr>
        <w:t>المستوحى</w:t>
      </w:r>
      <w:r w:rsidRPr="00E44602">
        <w:rPr>
          <w:rFonts w:ascii="Tahoma" w:eastAsia="Times New Roman" w:hAnsi="Tahoma" w:cs="Tahoma"/>
          <w:sz w:val="20"/>
          <w:szCs w:val="20"/>
          <w:rtl/>
          <w:lang w:val="en-GB" w:bidi="ar-SY"/>
        </w:rPr>
        <w:t xml:space="preserve"> </w:t>
      </w:r>
      <w:r w:rsidRPr="00E44602">
        <w:rPr>
          <w:rFonts w:ascii="Tahoma" w:eastAsia="Times New Roman" w:hAnsi="Tahoma" w:cs="Tahoma" w:hint="cs"/>
          <w:sz w:val="20"/>
          <w:szCs w:val="20"/>
          <w:rtl/>
          <w:lang w:val="en-GB" w:bidi="ar-SY"/>
        </w:rPr>
        <w:t>من</w:t>
      </w:r>
      <w:r w:rsidRPr="00E44602">
        <w:rPr>
          <w:rFonts w:ascii="Tahoma" w:eastAsia="Times New Roman" w:hAnsi="Tahoma" w:cs="Tahoma"/>
          <w:sz w:val="20"/>
          <w:szCs w:val="20"/>
          <w:rtl/>
          <w:lang w:val="en-GB" w:bidi="ar-SY"/>
        </w:rPr>
        <w:t xml:space="preserve"> </w:t>
      </w:r>
      <w:r w:rsidRPr="00E44602">
        <w:rPr>
          <w:rFonts w:ascii="Tahoma" w:eastAsia="Times New Roman" w:hAnsi="Tahoma" w:cs="Tahoma" w:hint="cs"/>
          <w:sz w:val="20"/>
          <w:szCs w:val="20"/>
          <w:rtl/>
          <w:lang w:val="en-GB" w:bidi="ar-SY"/>
        </w:rPr>
        <w:t>مكعبات</w:t>
      </w:r>
      <w:r w:rsidRPr="00E44602">
        <w:rPr>
          <w:rFonts w:ascii="Tahoma" w:eastAsia="Times New Roman" w:hAnsi="Tahoma" w:cs="Tahoma"/>
          <w:sz w:val="20"/>
          <w:szCs w:val="20"/>
          <w:rtl/>
          <w:lang w:val="en-GB" w:bidi="ar-SY"/>
        </w:rPr>
        <w:t xml:space="preserve"> </w:t>
      </w:r>
      <w:r w:rsidRPr="00E44602">
        <w:rPr>
          <w:rFonts w:ascii="Tahoma" w:eastAsia="Times New Roman" w:hAnsi="Tahoma" w:cs="Tahoma" w:hint="cs"/>
          <w:sz w:val="20"/>
          <w:szCs w:val="20"/>
          <w:rtl/>
          <w:lang w:val="en-GB" w:bidi="ar-SY"/>
        </w:rPr>
        <w:t>الليجو</w:t>
      </w:r>
      <w:r w:rsidRPr="00E44602">
        <w:rPr>
          <w:rFonts w:ascii="Tahoma" w:eastAsia="Times New Roman" w:hAnsi="Tahoma" w:cs="Tahoma"/>
          <w:sz w:val="20"/>
          <w:szCs w:val="20"/>
          <w:rtl/>
          <w:lang w:val="en-GB" w:bidi="ar-SY"/>
        </w:rPr>
        <w:t xml:space="preserve"> </w:t>
      </w:r>
      <w:r w:rsidRPr="00E44602">
        <w:rPr>
          <w:rFonts w:ascii="Tahoma" w:eastAsia="Times New Roman" w:hAnsi="Tahoma" w:cs="Tahoma" w:hint="cs"/>
          <w:sz w:val="20"/>
          <w:szCs w:val="20"/>
          <w:rtl/>
          <w:lang w:val="en-GB" w:bidi="ar-SY"/>
        </w:rPr>
        <w:t>الشهيرة</w:t>
      </w:r>
      <w:r w:rsidRPr="00E44602">
        <w:rPr>
          <w:rFonts w:ascii="Tahoma" w:eastAsia="Times New Roman" w:hAnsi="Tahoma" w:cs="Tahoma"/>
          <w:sz w:val="20"/>
          <w:szCs w:val="20"/>
          <w:rtl/>
          <w:lang w:val="en-GB" w:bidi="ar-SY"/>
        </w:rPr>
        <w:t xml:space="preserve"> </w:t>
      </w:r>
      <w:r w:rsidRPr="00E44602">
        <w:rPr>
          <w:rFonts w:ascii="Tahoma" w:eastAsia="Times New Roman" w:hAnsi="Tahoma" w:cs="Tahoma" w:hint="cs"/>
          <w:sz w:val="20"/>
          <w:szCs w:val="20"/>
          <w:rtl/>
          <w:lang w:val="en-GB" w:bidi="ar-SY"/>
        </w:rPr>
        <w:t>ليوفر</w:t>
      </w:r>
      <w:r w:rsidRPr="00E44602">
        <w:rPr>
          <w:rFonts w:ascii="Tahoma" w:eastAsia="Times New Roman" w:hAnsi="Tahoma" w:cs="Tahoma"/>
          <w:sz w:val="20"/>
          <w:szCs w:val="20"/>
          <w:rtl/>
          <w:lang w:val="en-GB" w:bidi="ar-SY"/>
        </w:rPr>
        <w:t xml:space="preserve"> </w:t>
      </w:r>
      <w:r w:rsidRPr="00E44602">
        <w:rPr>
          <w:rFonts w:ascii="Tahoma" w:eastAsia="Times New Roman" w:hAnsi="Tahoma" w:cs="Tahoma" w:hint="cs"/>
          <w:sz w:val="20"/>
          <w:szCs w:val="20"/>
          <w:rtl/>
          <w:lang w:val="en-GB" w:bidi="ar-SY"/>
        </w:rPr>
        <w:t>للعائلات</w:t>
      </w:r>
      <w:r w:rsidRPr="00E44602">
        <w:rPr>
          <w:rFonts w:ascii="Tahoma" w:eastAsia="Times New Roman" w:hAnsi="Tahoma" w:cs="Tahoma"/>
          <w:sz w:val="20"/>
          <w:szCs w:val="20"/>
          <w:rtl/>
          <w:lang w:val="en-GB" w:bidi="ar-SY"/>
        </w:rPr>
        <w:t xml:space="preserve"> </w:t>
      </w:r>
      <w:r w:rsidRPr="00E44602">
        <w:rPr>
          <w:rFonts w:ascii="Tahoma" w:eastAsia="Times New Roman" w:hAnsi="Tahoma" w:cs="Tahoma" w:hint="cs"/>
          <w:sz w:val="20"/>
          <w:szCs w:val="20"/>
          <w:rtl/>
          <w:lang w:val="en-GB" w:bidi="ar-SY"/>
        </w:rPr>
        <w:t>بيئة</w:t>
      </w:r>
      <w:r w:rsidRPr="00E44602">
        <w:rPr>
          <w:rFonts w:ascii="Tahoma" w:eastAsia="Times New Roman" w:hAnsi="Tahoma" w:cs="Tahoma"/>
          <w:sz w:val="20"/>
          <w:szCs w:val="20"/>
          <w:rtl/>
          <w:lang w:val="en-GB" w:bidi="ar-SY"/>
        </w:rPr>
        <w:t xml:space="preserve"> </w:t>
      </w:r>
      <w:r w:rsidRPr="00E44602">
        <w:rPr>
          <w:rFonts w:ascii="Tahoma" w:eastAsia="Times New Roman" w:hAnsi="Tahoma" w:cs="Tahoma" w:hint="cs"/>
          <w:sz w:val="20"/>
          <w:szCs w:val="20"/>
          <w:rtl/>
          <w:lang w:val="en-GB" w:bidi="ar-SY"/>
        </w:rPr>
        <w:t>تعليمية</w:t>
      </w:r>
      <w:r w:rsidRPr="00E44602">
        <w:rPr>
          <w:rFonts w:ascii="Tahoma" w:eastAsia="Times New Roman" w:hAnsi="Tahoma" w:cs="Tahoma"/>
          <w:sz w:val="20"/>
          <w:szCs w:val="20"/>
          <w:rtl/>
          <w:lang w:val="en-GB" w:bidi="ar-SY"/>
        </w:rPr>
        <w:t xml:space="preserve"> </w:t>
      </w:r>
      <w:r w:rsidRPr="00E44602">
        <w:rPr>
          <w:rFonts w:ascii="Tahoma" w:eastAsia="Times New Roman" w:hAnsi="Tahoma" w:cs="Tahoma" w:hint="cs"/>
          <w:sz w:val="20"/>
          <w:szCs w:val="20"/>
          <w:rtl/>
          <w:lang w:val="en-GB" w:bidi="ar-SY"/>
        </w:rPr>
        <w:t>مرحة</w:t>
      </w:r>
      <w:r w:rsidRPr="00AA3E4C">
        <w:rPr>
          <w:rFonts w:ascii="Tahoma" w:eastAsia="Times New Roman" w:hAnsi="Tahoma" w:cs="Tahoma"/>
          <w:sz w:val="20"/>
          <w:szCs w:val="20"/>
          <w:rtl/>
          <w:lang w:val="en-GB" w:bidi="ar-SY"/>
        </w:rPr>
        <w:t xml:space="preserve">، ومنتزه "بوليوود باركس دبي"، </w:t>
      </w:r>
      <w:r w:rsidRPr="00AA3E4C">
        <w:rPr>
          <w:rFonts w:ascii="Tahoma" w:eastAsia="Times New Roman" w:hAnsi="Tahoma" w:cs="Tahoma"/>
          <w:sz w:val="20"/>
          <w:szCs w:val="20"/>
          <w:rtl/>
          <w:lang w:val="en-GB" w:bidi="ar-AE"/>
        </w:rPr>
        <w:t xml:space="preserve">المنتزه </w:t>
      </w:r>
      <w:r w:rsidRPr="00AA3E4C">
        <w:rPr>
          <w:rFonts w:ascii="Tahoma" w:eastAsia="Times New Roman" w:hAnsi="Tahoma" w:cs="Tahoma"/>
          <w:sz w:val="20"/>
          <w:szCs w:val="20"/>
          <w:rtl/>
          <w:lang w:val="en-GB" w:bidi="ar-SY"/>
        </w:rPr>
        <w:t>الترفيهي الأول من نوعه الذي يضم ألعاب ركوب ووجهات ترفيهيه من وحي أفلام بوليوود. كما تتضمن حديقة الألعاب المائية "ليجولاند ووتر بارك"، أول حديقة مائية مخصصة للعائلات والأطفال من 2 إلى 12 سنة</w:t>
      </w:r>
      <w:r w:rsidRPr="00AA3E4C">
        <w:rPr>
          <w:rFonts w:ascii="Tahoma" w:eastAsia="Times New Roman" w:hAnsi="Tahoma" w:cs="Tahoma"/>
          <w:sz w:val="20"/>
          <w:szCs w:val="20"/>
          <w:lang w:val="en-GB" w:bidi="ar-SY"/>
        </w:rPr>
        <w:t>.</w:t>
      </w:r>
      <w:r w:rsidRPr="00AA3E4C">
        <w:rPr>
          <w:rFonts w:ascii="Tahoma" w:eastAsia="Times New Roman" w:hAnsi="Tahoma" w:cs="Tahoma"/>
          <w:sz w:val="20"/>
          <w:szCs w:val="20"/>
          <w:rtl/>
          <w:lang w:val="en-GB" w:bidi="ar-SY"/>
        </w:rPr>
        <w:t xml:space="preserve"> هذا وسوف يكون منتزه "سيكس فلاجز دبي"، والمقرر إفتتاحه في أواخر 2019، رابع المنتزهات الترفيهية المتعددة التي تطورها "دبي باركس آند ريزورتس"، والأول من نوعه في الشرق الأوسط.</w:t>
      </w:r>
    </w:p>
    <w:p w:rsidR="00311C13" w:rsidRPr="00AA3E4C" w:rsidRDefault="00311C13" w:rsidP="00311C13">
      <w:pPr>
        <w:bidi/>
        <w:jc w:val="both"/>
        <w:rPr>
          <w:rFonts w:ascii="Tahoma" w:eastAsia="Times New Roman" w:hAnsi="Tahoma" w:cs="Tahoma"/>
          <w:sz w:val="20"/>
          <w:szCs w:val="20"/>
          <w:lang w:val="en-GB" w:bidi="ar-SY"/>
        </w:rPr>
      </w:pPr>
    </w:p>
    <w:p w:rsidR="00311C13" w:rsidRPr="00AA3E4C" w:rsidRDefault="00311C13" w:rsidP="00311C13">
      <w:pPr>
        <w:bidi/>
        <w:spacing w:line="360" w:lineRule="auto"/>
        <w:jc w:val="both"/>
        <w:rPr>
          <w:rFonts w:ascii="Tahoma" w:eastAsia="Times New Roman" w:hAnsi="Tahoma" w:cs="Tahoma"/>
          <w:sz w:val="20"/>
          <w:szCs w:val="20"/>
          <w:lang w:val="en-GB" w:bidi="ar-SY"/>
        </w:rPr>
      </w:pPr>
      <w:r w:rsidRPr="00AA3E4C">
        <w:rPr>
          <w:rFonts w:ascii="Tahoma" w:eastAsia="Times New Roman" w:hAnsi="Tahoma" w:cs="Tahoma"/>
          <w:sz w:val="20"/>
          <w:szCs w:val="20"/>
          <w:rtl/>
          <w:lang w:val="en-GB" w:bidi="ar-SY"/>
        </w:rPr>
        <w:t>وترتبط الوجهة الترفيهية بالكامل عبر مجّمع "ريفرلاند دبي" الفريد والمتكامل، الذي يحتضن العديد من المتاجر والمطاعم والوجهات الترفيهية؛ ً فضلا عن فندق "لابيتا" العائلي المصمم على الطراز البولينيزي، وهو جزء من ماريوت أتو</w:t>
      </w:r>
      <w:r w:rsidRPr="00AA3E4C">
        <w:rPr>
          <w:rFonts w:ascii="Tahoma" w:eastAsia="Times New Roman" w:hAnsi="Tahoma" w:cs="Tahoma"/>
          <w:sz w:val="20"/>
          <w:szCs w:val="20"/>
          <w:rtl/>
          <w:lang w:val="en-GB" w:bidi="ar-AE"/>
        </w:rPr>
        <w:t>ج</w:t>
      </w:r>
      <w:r w:rsidRPr="00AA3E4C">
        <w:rPr>
          <w:rFonts w:ascii="Tahoma" w:eastAsia="Times New Roman" w:hAnsi="Tahoma" w:cs="Tahoma"/>
          <w:sz w:val="20"/>
          <w:szCs w:val="20"/>
          <w:rtl/>
          <w:lang w:val="en-GB" w:bidi="ar-SY"/>
        </w:rPr>
        <w:t>راف كوليكشن.</w:t>
      </w:r>
    </w:p>
    <w:p w:rsidR="00311C13" w:rsidRPr="00AA3E4C" w:rsidRDefault="00311C13" w:rsidP="00311C13">
      <w:pPr>
        <w:bidi/>
        <w:jc w:val="both"/>
        <w:rPr>
          <w:rFonts w:ascii="Tahoma" w:eastAsia="Times New Roman" w:hAnsi="Tahoma" w:cs="Tahoma"/>
          <w:sz w:val="20"/>
          <w:szCs w:val="20"/>
          <w:rtl/>
          <w:lang w:val="en-GB" w:bidi="ar-SY"/>
        </w:rPr>
      </w:pPr>
      <w:r w:rsidRPr="00AA3E4C">
        <w:rPr>
          <w:rFonts w:ascii="Tahoma" w:eastAsia="Times New Roman" w:hAnsi="Tahoma" w:cs="Tahoma"/>
          <w:sz w:val="20"/>
          <w:szCs w:val="20"/>
          <w:rtl/>
          <w:lang w:val="en-GB" w:bidi="ar-SY"/>
        </w:rPr>
        <w:t>تقع الوجهة الترفيهية على شارع الشيخ زايد فى إمارة دبي بالقرب من "نخلة جبل علي"</w:t>
      </w:r>
      <w:r w:rsidRPr="00AA3E4C">
        <w:rPr>
          <w:rFonts w:ascii="Tahoma" w:eastAsia="Times New Roman" w:hAnsi="Tahoma" w:cs="Tahoma"/>
          <w:sz w:val="20"/>
          <w:szCs w:val="20"/>
          <w:lang w:val="en-GB" w:bidi="ar-SY"/>
        </w:rPr>
        <w:t xml:space="preserve"> </w:t>
      </w:r>
      <w:r w:rsidRPr="00AA3E4C">
        <w:rPr>
          <w:rFonts w:ascii="Tahoma" w:eastAsia="Times New Roman" w:hAnsi="Tahoma" w:cs="Tahoma"/>
          <w:sz w:val="20"/>
          <w:szCs w:val="20"/>
          <w:rtl/>
          <w:lang w:val="en-GB" w:bidi="ar-SY"/>
        </w:rPr>
        <w:t xml:space="preserve">، متيحةً وصولاً سلساً لمطاري دبي وأبوظبي الدوليين الذين تتوسطهما ؛ وتحتوي على اكثر من 100 لعبة ووجهة. </w:t>
      </w:r>
    </w:p>
    <w:p w:rsidR="00311C13" w:rsidRPr="00AA3E4C" w:rsidRDefault="00311C13" w:rsidP="00311C13">
      <w:pPr>
        <w:bidi/>
        <w:jc w:val="both"/>
        <w:rPr>
          <w:rFonts w:ascii="Tahoma" w:eastAsia="Times New Roman" w:hAnsi="Tahoma" w:cs="Tahoma"/>
          <w:sz w:val="20"/>
          <w:szCs w:val="20"/>
          <w:rtl/>
          <w:lang w:val="en-GB" w:bidi="ar-SY"/>
        </w:rPr>
      </w:pPr>
    </w:p>
    <w:p w:rsidR="00311C13" w:rsidRPr="00AA3E4C" w:rsidRDefault="00311C13" w:rsidP="00311C13">
      <w:pPr>
        <w:bidi/>
        <w:jc w:val="both"/>
        <w:rPr>
          <w:rFonts w:ascii="Tahoma" w:eastAsia="Times New Roman" w:hAnsi="Tahoma" w:cs="Tahoma"/>
          <w:sz w:val="20"/>
          <w:szCs w:val="20"/>
          <w:rtl/>
          <w:lang w:val="en-GB" w:bidi="ar-SY"/>
        </w:rPr>
      </w:pPr>
      <w:r w:rsidRPr="00AA3E4C">
        <w:rPr>
          <w:rFonts w:ascii="Tahoma" w:eastAsia="Times New Roman" w:hAnsi="Tahoma" w:cs="Tahoma"/>
          <w:sz w:val="20"/>
          <w:szCs w:val="20"/>
          <w:rtl/>
          <w:lang w:val="en-GB" w:bidi="ar-SY"/>
        </w:rPr>
        <w:t>ويتوافر مزيد من المعلومات على الرابط الإلكتروني</w:t>
      </w:r>
      <w:r w:rsidRPr="00AA3E4C">
        <w:rPr>
          <w:rFonts w:ascii="Tahoma" w:eastAsia="Times New Roman" w:hAnsi="Tahoma" w:cs="Tahoma"/>
          <w:sz w:val="20"/>
          <w:szCs w:val="20"/>
          <w:lang w:val="en-GB" w:bidi="ar-SY"/>
        </w:rPr>
        <w:t>:</w:t>
      </w:r>
      <w:r w:rsidRPr="00AA3E4C">
        <w:rPr>
          <w:rFonts w:ascii="Tahoma" w:eastAsia="Times New Roman" w:hAnsi="Tahoma" w:cs="Tahoma"/>
          <w:sz w:val="20"/>
          <w:szCs w:val="20"/>
          <w:rtl/>
          <w:lang w:val="en-GB" w:bidi="ar-SY"/>
        </w:rPr>
        <w:t xml:space="preserve"> </w:t>
      </w:r>
      <w:r w:rsidRPr="00AA3E4C">
        <w:rPr>
          <w:rStyle w:val="Hyperlink"/>
          <w:rFonts w:ascii="Tahoma" w:hAnsi="Tahoma" w:cs="Tahoma"/>
          <w:sz w:val="20"/>
          <w:szCs w:val="20"/>
        </w:rPr>
        <w:t>www.dubaiparksandresorts.com</w:t>
      </w:r>
    </w:p>
    <w:p w:rsidR="00311C13" w:rsidRPr="00AA3E4C" w:rsidRDefault="00311C13" w:rsidP="00311C13">
      <w:pPr>
        <w:shd w:val="clear" w:color="auto" w:fill="FFFFFF"/>
        <w:bidi/>
        <w:ind w:right="-270"/>
        <w:jc w:val="both"/>
        <w:rPr>
          <w:rFonts w:ascii="Tahoma" w:eastAsia="Times New Roman" w:hAnsi="Tahoma" w:cs="Tahoma"/>
          <w:sz w:val="20"/>
          <w:szCs w:val="20"/>
          <w:rtl/>
          <w:lang w:bidi="ar-AE"/>
        </w:rPr>
      </w:pPr>
      <w:r w:rsidRPr="00AA3E4C">
        <w:rPr>
          <w:rFonts w:ascii="Tahoma" w:eastAsia="Times New Roman" w:hAnsi="Tahoma" w:cs="Tahoma"/>
          <w:sz w:val="20"/>
          <w:szCs w:val="20"/>
          <w:rtl/>
          <w:lang w:val="en-GB" w:bidi="ar-SY"/>
        </w:rPr>
        <w:t xml:space="preserve">تابعوا </w:t>
      </w:r>
      <w:r w:rsidRPr="00AA3E4C">
        <w:rPr>
          <w:rFonts w:ascii="Tahoma" w:eastAsia="Times New Roman" w:hAnsi="Tahoma" w:cs="Tahoma"/>
          <w:sz w:val="20"/>
          <w:szCs w:val="20"/>
          <w:rtl/>
          <w:lang w:val="en-GB" w:bidi="ar-AE"/>
        </w:rPr>
        <w:t>"دبي باركس آند ريزورتس"</w:t>
      </w:r>
      <w:r w:rsidRPr="00AA3E4C">
        <w:rPr>
          <w:rFonts w:ascii="Tahoma" w:eastAsia="Times New Roman" w:hAnsi="Tahoma" w:cs="Tahoma"/>
          <w:sz w:val="20"/>
          <w:szCs w:val="20"/>
          <w:rtl/>
          <w:lang w:val="en-GB" w:bidi="ar-SY"/>
        </w:rPr>
        <w:t>:</w:t>
      </w:r>
      <w:r w:rsidRPr="00AA3E4C">
        <w:rPr>
          <w:rFonts w:ascii="Tahoma" w:eastAsia="Times New Roman" w:hAnsi="Tahoma" w:cs="Tahoma"/>
          <w:sz w:val="20"/>
          <w:szCs w:val="20"/>
          <w:rtl/>
          <w:lang w:bidi="ar-AE"/>
        </w:rPr>
        <w:t xml:space="preserve"> </w:t>
      </w:r>
      <w:r w:rsidRPr="00AA3E4C">
        <w:rPr>
          <w:rFonts w:ascii="Tahoma" w:eastAsia="Times New Roman" w:hAnsi="Tahoma" w:cs="Tahoma"/>
          <w:noProof/>
          <w:sz w:val="20"/>
          <w:szCs w:val="20"/>
        </w:rPr>
        <w:drawing>
          <wp:inline distT="0" distB="0" distL="0" distR="0" wp14:anchorId="605D84F0" wp14:editId="7EC1DC2D">
            <wp:extent cx="180975" cy="180975"/>
            <wp:effectExtent l="0" t="0" r="9525" b="9525"/>
            <wp:docPr id="6" name="Picture 6" descr="YouTub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ouTub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E4C">
        <w:rPr>
          <w:rFonts w:ascii="Tahoma" w:eastAsia="Times New Roman" w:hAnsi="Tahoma" w:cs="Tahoma"/>
          <w:noProof/>
          <w:sz w:val="20"/>
          <w:szCs w:val="20"/>
        </w:rPr>
        <w:drawing>
          <wp:inline distT="0" distB="0" distL="0" distR="0" wp14:anchorId="6E28A740" wp14:editId="28A53AA9">
            <wp:extent cx="180975" cy="180975"/>
            <wp:effectExtent l="0" t="0" r="9525" b="9525"/>
            <wp:docPr id="7" name="Picture 7" descr="Twitter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itter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E4C">
        <w:rPr>
          <w:rFonts w:ascii="Tahoma" w:eastAsia="Times New Roman" w:hAnsi="Tahoma" w:cs="Tahoma"/>
          <w:noProof/>
          <w:sz w:val="20"/>
          <w:szCs w:val="20"/>
        </w:rPr>
        <w:drawing>
          <wp:inline distT="0" distB="0" distL="0" distR="0" wp14:anchorId="65C83B56" wp14:editId="4D993931">
            <wp:extent cx="180975" cy="180975"/>
            <wp:effectExtent l="0" t="0" r="9525" b="9525"/>
            <wp:docPr id="8" name="Picture 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E4C">
        <w:rPr>
          <w:rFonts w:ascii="Tahoma" w:eastAsia="Times New Roman" w:hAnsi="Tahoma" w:cs="Tahoma"/>
          <w:noProof/>
          <w:sz w:val="20"/>
          <w:szCs w:val="20"/>
        </w:rPr>
        <w:drawing>
          <wp:inline distT="0" distB="0" distL="0" distR="0" wp14:anchorId="0A33FCAC" wp14:editId="07710D3B">
            <wp:extent cx="180975" cy="180975"/>
            <wp:effectExtent l="0" t="0" r="9525" b="9525"/>
            <wp:docPr id="9" name="Picture 9" descr="Facebook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ebook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C13" w:rsidRPr="00AA3E4C" w:rsidRDefault="00311C13" w:rsidP="00311C13">
      <w:pPr>
        <w:bidi/>
        <w:spacing w:line="360" w:lineRule="auto"/>
        <w:jc w:val="both"/>
        <w:rPr>
          <w:rFonts w:ascii="Tahoma" w:eastAsia="Calibri" w:hAnsi="Tahoma" w:cs="Tahoma"/>
          <w:sz w:val="20"/>
          <w:szCs w:val="20"/>
          <w:lang w:bidi="ar-AE"/>
        </w:rPr>
      </w:pPr>
    </w:p>
    <w:p w:rsidR="00311C13" w:rsidRPr="00AA3E4C" w:rsidRDefault="00311C13" w:rsidP="00311C13">
      <w:pPr>
        <w:bidi/>
        <w:spacing w:line="360" w:lineRule="auto"/>
        <w:jc w:val="both"/>
        <w:rPr>
          <w:rFonts w:ascii="Tahoma" w:eastAsia="Calibri" w:hAnsi="Tahoma" w:cs="Tahoma"/>
          <w:sz w:val="20"/>
          <w:szCs w:val="20"/>
          <w:rtl/>
          <w:lang w:bidi="ar-AE"/>
        </w:rPr>
      </w:pPr>
      <w:r w:rsidRPr="00AA3E4C">
        <w:rPr>
          <w:rFonts w:ascii="Tahoma" w:eastAsia="Calibri" w:hAnsi="Tahoma" w:cs="Tahoma"/>
          <w:sz w:val="20"/>
          <w:szCs w:val="20"/>
          <w:rtl/>
          <w:lang w:bidi="ar-AE"/>
        </w:rPr>
        <w:t xml:space="preserve">للمزيد من المعلومات يرجى الاتصال بـ: </w:t>
      </w:r>
    </w:p>
    <w:p w:rsidR="00311C13" w:rsidRPr="00AA3E4C" w:rsidRDefault="00311C13" w:rsidP="00311C13">
      <w:pPr>
        <w:bidi/>
        <w:spacing w:line="360" w:lineRule="auto"/>
        <w:jc w:val="both"/>
        <w:rPr>
          <w:rFonts w:ascii="Tahoma" w:eastAsia="Calibri" w:hAnsi="Tahoma" w:cs="Tahoma"/>
          <w:sz w:val="20"/>
          <w:szCs w:val="20"/>
          <w:rtl/>
          <w:lang w:bidi="ar-AE"/>
        </w:rPr>
      </w:pPr>
      <w:r w:rsidRPr="00AA3E4C">
        <w:rPr>
          <w:rFonts w:ascii="Tahoma" w:eastAsia="Calibri" w:hAnsi="Tahoma" w:cs="Tahoma"/>
          <w:sz w:val="20"/>
          <w:szCs w:val="20"/>
          <w:rtl/>
          <w:lang w:bidi="ar-AE"/>
        </w:rPr>
        <w:t>دينا بجالي أو سمير دسوقي</w:t>
      </w:r>
    </w:p>
    <w:p w:rsidR="00311C13" w:rsidRPr="00AA3E4C" w:rsidRDefault="00311C13" w:rsidP="00311C13">
      <w:pPr>
        <w:bidi/>
        <w:spacing w:line="360" w:lineRule="auto"/>
        <w:jc w:val="both"/>
        <w:rPr>
          <w:rFonts w:ascii="Tahoma" w:eastAsia="Calibri" w:hAnsi="Tahoma" w:cs="Tahoma"/>
          <w:sz w:val="20"/>
          <w:szCs w:val="20"/>
          <w:rtl/>
          <w:lang w:bidi="ar-AE"/>
        </w:rPr>
      </w:pPr>
      <w:r w:rsidRPr="00AA3E4C">
        <w:rPr>
          <w:rFonts w:ascii="Tahoma" w:eastAsia="Calibri" w:hAnsi="Tahoma" w:cs="Tahoma"/>
          <w:sz w:val="20"/>
          <w:szCs w:val="20"/>
          <w:rtl/>
          <w:lang w:bidi="ar-AE"/>
        </w:rPr>
        <w:t>أصداء بيرسون مارستيلر</w:t>
      </w:r>
    </w:p>
    <w:p w:rsidR="00311C13" w:rsidRPr="00AA3E4C" w:rsidRDefault="00311C13" w:rsidP="00311C13">
      <w:pPr>
        <w:bidi/>
        <w:spacing w:line="360" w:lineRule="auto"/>
        <w:jc w:val="both"/>
        <w:rPr>
          <w:rFonts w:ascii="Tahoma" w:eastAsia="Calibri" w:hAnsi="Tahoma" w:cs="Tahoma"/>
          <w:sz w:val="20"/>
          <w:szCs w:val="20"/>
          <w:rtl/>
        </w:rPr>
      </w:pPr>
      <w:r w:rsidRPr="00AA3E4C">
        <w:rPr>
          <w:rFonts w:ascii="Tahoma" w:eastAsia="Calibri" w:hAnsi="Tahoma" w:cs="Tahoma"/>
          <w:sz w:val="20"/>
          <w:szCs w:val="20"/>
          <w:lang w:bidi="ar-AE"/>
        </w:rPr>
        <w:t>Dina.bajjali@bm.com</w:t>
      </w:r>
      <w:r w:rsidRPr="00AA3E4C">
        <w:rPr>
          <w:rFonts w:ascii="Tahoma" w:eastAsia="Calibri" w:hAnsi="Tahoma" w:cs="Tahoma"/>
          <w:sz w:val="20"/>
          <w:szCs w:val="20"/>
          <w:rtl/>
          <w:lang w:bidi="ar-AE"/>
        </w:rPr>
        <w:t xml:space="preserve"> أو  </w:t>
      </w:r>
      <w:hyperlink r:id="rId17" w:history="1">
        <w:r w:rsidRPr="00AA3E4C">
          <w:rPr>
            <w:rFonts w:ascii="Tahoma" w:eastAsia="Calibri" w:hAnsi="Tahoma" w:cs="Tahoma"/>
            <w:sz w:val="20"/>
            <w:szCs w:val="20"/>
            <w:lang w:bidi="ar-AE"/>
          </w:rPr>
          <w:t>Sameer</w:t>
        </w:r>
      </w:hyperlink>
      <w:r w:rsidRPr="00AA3E4C">
        <w:rPr>
          <w:rFonts w:ascii="Tahoma" w:eastAsia="Calibri" w:hAnsi="Tahoma" w:cs="Tahoma"/>
          <w:sz w:val="20"/>
          <w:szCs w:val="20"/>
          <w:lang w:bidi="ar-AE"/>
        </w:rPr>
        <w:t>.dasouqi@bm.com</w:t>
      </w:r>
      <w:r w:rsidRPr="00AA3E4C">
        <w:rPr>
          <w:rFonts w:ascii="Tahoma" w:eastAsia="Calibri" w:hAnsi="Tahoma" w:cs="Tahoma"/>
          <w:sz w:val="20"/>
          <w:szCs w:val="20"/>
          <w:rtl/>
        </w:rPr>
        <w:t xml:space="preserve"> </w:t>
      </w:r>
    </w:p>
    <w:p w:rsidR="00311C13" w:rsidRPr="00AA3E4C" w:rsidRDefault="00311C13" w:rsidP="00311C13">
      <w:pPr>
        <w:bidi/>
        <w:spacing w:line="360" w:lineRule="auto"/>
        <w:jc w:val="both"/>
        <w:rPr>
          <w:rFonts w:ascii="Tahoma" w:eastAsia="Calibri" w:hAnsi="Tahoma" w:cs="Tahoma"/>
          <w:sz w:val="20"/>
          <w:szCs w:val="20"/>
          <w:rtl/>
          <w:lang w:bidi="ar-AE"/>
        </w:rPr>
      </w:pPr>
      <w:r w:rsidRPr="00AA3E4C">
        <w:rPr>
          <w:rFonts w:ascii="Tahoma" w:eastAsia="Calibri" w:hAnsi="Tahoma" w:cs="Tahoma"/>
          <w:sz w:val="20"/>
          <w:szCs w:val="20"/>
          <w:rtl/>
          <w:lang w:bidi="ar-AE"/>
        </w:rPr>
        <w:t>هاتف: 4507600 4 971+</w:t>
      </w:r>
    </w:p>
    <w:p w:rsidR="00311C13" w:rsidRDefault="00311C13" w:rsidP="00311C13">
      <w:pPr>
        <w:tabs>
          <w:tab w:val="left" w:pos="6180"/>
        </w:tabs>
        <w:rPr>
          <w:lang w:bidi="ar-AE"/>
        </w:rPr>
      </w:pPr>
    </w:p>
    <w:p w:rsidR="00311C13" w:rsidRDefault="00311C13" w:rsidP="00311C13">
      <w:pPr>
        <w:autoSpaceDE w:val="0"/>
        <w:autoSpaceDN w:val="0"/>
        <w:bidi/>
        <w:adjustRightInd w:val="0"/>
        <w:spacing w:after="0"/>
        <w:rPr>
          <w:rFonts w:ascii="Neo Sans Arabic" w:hAnsi="Neo Sans Arabic" w:cs="Neo Sans Arabic"/>
          <w:b/>
          <w:bCs/>
          <w:sz w:val="28"/>
          <w:szCs w:val="28"/>
          <w:u w:val="single"/>
          <w:lang w:bidi="ar-AE"/>
        </w:rPr>
      </w:pPr>
    </w:p>
    <w:p w:rsidR="00311C13" w:rsidRDefault="00311C13" w:rsidP="00311C13">
      <w:pPr>
        <w:autoSpaceDE w:val="0"/>
        <w:autoSpaceDN w:val="0"/>
        <w:bidi/>
        <w:adjustRightInd w:val="0"/>
        <w:spacing w:after="0"/>
        <w:rPr>
          <w:rFonts w:ascii="Neo Sans Arabic" w:hAnsi="Neo Sans Arabic" w:cs="Neo Sans Arabic"/>
          <w:b/>
          <w:bCs/>
          <w:sz w:val="28"/>
          <w:szCs w:val="28"/>
          <w:u w:val="single"/>
          <w:lang w:bidi="ar-AE"/>
        </w:rPr>
      </w:pPr>
    </w:p>
    <w:p w:rsidR="00311C13" w:rsidRDefault="00311C13" w:rsidP="00311C13">
      <w:pPr>
        <w:autoSpaceDE w:val="0"/>
        <w:autoSpaceDN w:val="0"/>
        <w:bidi/>
        <w:adjustRightInd w:val="0"/>
        <w:spacing w:after="0"/>
        <w:rPr>
          <w:rFonts w:ascii="Neo Sans Arabic" w:hAnsi="Neo Sans Arabic" w:cs="Neo Sans Arabic"/>
          <w:b/>
          <w:bCs/>
          <w:sz w:val="28"/>
          <w:szCs w:val="28"/>
          <w:u w:val="single"/>
          <w:lang w:bidi="ar-AE"/>
        </w:rPr>
      </w:pPr>
    </w:p>
    <w:p w:rsidR="00311C13" w:rsidRDefault="00311C13" w:rsidP="00311C13">
      <w:pPr>
        <w:autoSpaceDE w:val="0"/>
        <w:autoSpaceDN w:val="0"/>
        <w:bidi/>
        <w:adjustRightInd w:val="0"/>
        <w:spacing w:after="0"/>
        <w:rPr>
          <w:rFonts w:ascii="Neo Sans Arabic" w:hAnsi="Neo Sans Arabic" w:cs="Neo Sans Arabic"/>
          <w:b/>
          <w:bCs/>
          <w:sz w:val="28"/>
          <w:szCs w:val="28"/>
          <w:u w:val="single"/>
          <w:lang w:bidi="ar-AE"/>
        </w:rPr>
      </w:pPr>
    </w:p>
    <w:p w:rsidR="00311C13" w:rsidRDefault="00311C13" w:rsidP="00311C13">
      <w:pPr>
        <w:autoSpaceDE w:val="0"/>
        <w:autoSpaceDN w:val="0"/>
        <w:bidi/>
        <w:adjustRightInd w:val="0"/>
        <w:spacing w:after="0"/>
        <w:rPr>
          <w:rFonts w:ascii="Neo Sans Arabic" w:hAnsi="Neo Sans Arabic" w:cs="Neo Sans Arabic"/>
          <w:b/>
          <w:bCs/>
          <w:sz w:val="28"/>
          <w:szCs w:val="28"/>
          <w:u w:val="single"/>
          <w:rtl/>
          <w:lang w:bidi="ar-AE"/>
        </w:rPr>
      </w:pPr>
    </w:p>
    <w:p w:rsidR="00311C13" w:rsidRPr="004269CF" w:rsidRDefault="00311C13" w:rsidP="00311C13">
      <w:pPr>
        <w:pStyle w:val="PlainText"/>
        <w:bidi/>
        <w:spacing w:line="276" w:lineRule="auto"/>
        <w:jc w:val="center"/>
        <w:rPr>
          <w:rFonts w:ascii="Aldhabi" w:hAnsi="Aldhabi" w:cs="Aldhabi"/>
          <w:b/>
          <w:bCs/>
          <w:sz w:val="20"/>
          <w:szCs w:val="20"/>
          <w:lang w:val="fr-FR"/>
        </w:rPr>
      </w:pPr>
    </w:p>
    <w:sectPr w:rsidR="00311C13" w:rsidRPr="004269CF" w:rsidSect="007F6566">
      <w:headerReference w:type="default" r:id="rId18"/>
      <w:pgSz w:w="11906" w:h="16838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E60" w:rsidRDefault="00287E60">
      <w:pPr>
        <w:spacing w:after="0" w:line="240" w:lineRule="auto"/>
      </w:pPr>
      <w:r>
        <w:separator/>
      </w:r>
    </w:p>
  </w:endnote>
  <w:endnote w:type="continuationSeparator" w:id="0">
    <w:p w:rsidR="00287E60" w:rsidRDefault="0028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lavika Light">
    <w:altName w:val="Franklin Gothic Medium Cond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Klavika-Regula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dhabi">
    <w:altName w:val="Courier New"/>
    <w:charset w:val="00"/>
    <w:family w:val="auto"/>
    <w:pitch w:val="variable"/>
    <w:sig w:usb0="A000206F" w:usb1="9000804B" w:usb2="00000000" w:usb3="00000000" w:csb0="00000041" w:csb1="00000000"/>
  </w:font>
  <w:font w:name="Neo Sans Arabic">
    <w:altName w:val="Tahoma"/>
    <w:charset w:val="00"/>
    <w:family w:val="swiss"/>
    <w:pitch w:val="variable"/>
    <w:sig w:usb0="00000000" w:usb1="C000A04A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E60" w:rsidRDefault="00287E60">
      <w:pPr>
        <w:spacing w:after="0" w:line="240" w:lineRule="auto"/>
      </w:pPr>
      <w:r>
        <w:separator/>
      </w:r>
    </w:p>
  </w:footnote>
  <w:footnote w:type="continuationSeparator" w:id="0">
    <w:p w:rsidR="00287E60" w:rsidRDefault="00287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E9" w:rsidRDefault="00A0365C" w:rsidP="00921C45">
    <w:pPr>
      <w:pStyle w:val="Header"/>
      <w:jc w:val="cent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2C6460A0" wp14:editId="4BE5E76E">
          <wp:simplePos x="0" y="0"/>
          <wp:positionH relativeFrom="column">
            <wp:posOffset>1714500</wp:posOffset>
          </wp:positionH>
          <wp:positionV relativeFrom="paragraph">
            <wp:posOffset>0</wp:posOffset>
          </wp:positionV>
          <wp:extent cx="2298700" cy="450850"/>
          <wp:effectExtent l="0" t="0" r="6350" b="6350"/>
          <wp:wrapTight wrapText="bothSides">
            <wp:wrapPolygon edited="0">
              <wp:start x="537" y="0"/>
              <wp:lineTo x="0" y="6389"/>
              <wp:lineTo x="0" y="13690"/>
              <wp:lineTo x="537" y="15515"/>
              <wp:lineTo x="5907" y="20992"/>
              <wp:lineTo x="6444" y="20992"/>
              <wp:lineTo x="14678" y="20992"/>
              <wp:lineTo x="15215" y="20992"/>
              <wp:lineTo x="21481" y="14603"/>
              <wp:lineTo x="21481" y="0"/>
              <wp:lineTo x="12888" y="0"/>
              <wp:lineTo x="537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75F4"/>
    <w:multiLevelType w:val="hybridMultilevel"/>
    <w:tmpl w:val="B13CFE82"/>
    <w:lvl w:ilvl="0" w:tplc="21C6F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52DA"/>
    <w:multiLevelType w:val="hybridMultilevel"/>
    <w:tmpl w:val="BE94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F4ADB"/>
    <w:multiLevelType w:val="hybridMultilevel"/>
    <w:tmpl w:val="E5383B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107AD"/>
    <w:multiLevelType w:val="hybridMultilevel"/>
    <w:tmpl w:val="4D4270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C4238"/>
    <w:multiLevelType w:val="hybridMultilevel"/>
    <w:tmpl w:val="78ACD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F2DC5"/>
    <w:multiLevelType w:val="hybridMultilevel"/>
    <w:tmpl w:val="E3389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2433B8">
      <w:numFmt w:val="bullet"/>
      <w:lvlText w:val="•"/>
      <w:lvlJc w:val="left"/>
      <w:pPr>
        <w:ind w:left="1080" w:hanging="360"/>
      </w:pPr>
      <w:rPr>
        <w:rFonts w:ascii="Klavika Light" w:eastAsia="Times New Roman" w:hAnsi="Klavika Light" w:cs="Klavika-Regular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490367"/>
    <w:multiLevelType w:val="hybridMultilevel"/>
    <w:tmpl w:val="E1FCF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F56C8"/>
    <w:multiLevelType w:val="hybridMultilevel"/>
    <w:tmpl w:val="EC4E1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E1CCA"/>
    <w:multiLevelType w:val="hybridMultilevel"/>
    <w:tmpl w:val="4D309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75D97"/>
    <w:multiLevelType w:val="hybridMultilevel"/>
    <w:tmpl w:val="47064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9E0D97"/>
    <w:multiLevelType w:val="hybridMultilevel"/>
    <w:tmpl w:val="1BFC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86E9F"/>
    <w:multiLevelType w:val="hybridMultilevel"/>
    <w:tmpl w:val="1C705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D061A"/>
    <w:multiLevelType w:val="hybridMultilevel"/>
    <w:tmpl w:val="7548E7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03B93"/>
    <w:multiLevelType w:val="hybridMultilevel"/>
    <w:tmpl w:val="73806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A1C40"/>
    <w:multiLevelType w:val="hybridMultilevel"/>
    <w:tmpl w:val="E1146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91BCC"/>
    <w:multiLevelType w:val="hybridMultilevel"/>
    <w:tmpl w:val="419ED9A6"/>
    <w:lvl w:ilvl="0" w:tplc="21C6F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66E9E"/>
    <w:multiLevelType w:val="hybridMultilevel"/>
    <w:tmpl w:val="F362792E"/>
    <w:lvl w:ilvl="0" w:tplc="357AEB3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B7302"/>
    <w:multiLevelType w:val="hybridMultilevel"/>
    <w:tmpl w:val="0E961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0"/>
  </w:num>
  <w:num w:numId="5">
    <w:abstractNumId w:val="9"/>
  </w:num>
  <w:num w:numId="6">
    <w:abstractNumId w:val="10"/>
  </w:num>
  <w:num w:numId="7">
    <w:abstractNumId w:val="14"/>
  </w:num>
  <w:num w:numId="8">
    <w:abstractNumId w:val="4"/>
  </w:num>
  <w:num w:numId="9">
    <w:abstractNumId w:val="3"/>
  </w:num>
  <w:num w:numId="10">
    <w:abstractNumId w:val="2"/>
  </w:num>
  <w:num w:numId="11">
    <w:abstractNumId w:val="12"/>
  </w:num>
  <w:num w:numId="12">
    <w:abstractNumId w:val="11"/>
  </w:num>
  <w:num w:numId="13">
    <w:abstractNumId w:val="17"/>
  </w:num>
  <w:num w:numId="14">
    <w:abstractNumId w:val="5"/>
  </w:num>
  <w:num w:numId="15">
    <w:abstractNumId w:val="7"/>
  </w:num>
  <w:num w:numId="16">
    <w:abstractNumId w:val="16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46"/>
    <w:rsid w:val="000069A7"/>
    <w:rsid w:val="00006A03"/>
    <w:rsid w:val="00006AB7"/>
    <w:rsid w:val="00006CBE"/>
    <w:rsid w:val="00020371"/>
    <w:rsid w:val="000245B5"/>
    <w:rsid w:val="00035E03"/>
    <w:rsid w:val="000379E5"/>
    <w:rsid w:val="000419CE"/>
    <w:rsid w:val="0004658A"/>
    <w:rsid w:val="000475AC"/>
    <w:rsid w:val="00055EB8"/>
    <w:rsid w:val="00060468"/>
    <w:rsid w:val="000664AA"/>
    <w:rsid w:val="00071E49"/>
    <w:rsid w:val="00071F35"/>
    <w:rsid w:val="00076811"/>
    <w:rsid w:val="000819A9"/>
    <w:rsid w:val="000A123D"/>
    <w:rsid w:val="000A4962"/>
    <w:rsid w:val="000A63D7"/>
    <w:rsid w:val="000B2CE5"/>
    <w:rsid w:val="000B38BE"/>
    <w:rsid w:val="000B5FDA"/>
    <w:rsid w:val="000B7139"/>
    <w:rsid w:val="000C48CC"/>
    <w:rsid w:val="000C65BB"/>
    <w:rsid w:val="000C71F0"/>
    <w:rsid w:val="000D2FF1"/>
    <w:rsid w:val="000E197C"/>
    <w:rsid w:val="000E1EAF"/>
    <w:rsid w:val="000E551C"/>
    <w:rsid w:val="000F225F"/>
    <w:rsid w:val="000F75E2"/>
    <w:rsid w:val="00100A36"/>
    <w:rsid w:val="00112678"/>
    <w:rsid w:val="0011306A"/>
    <w:rsid w:val="001149F7"/>
    <w:rsid w:val="00123824"/>
    <w:rsid w:val="001256D1"/>
    <w:rsid w:val="001263AF"/>
    <w:rsid w:val="00130304"/>
    <w:rsid w:val="001342FD"/>
    <w:rsid w:val="001344F5"/>
    <w:rsid w:val="00136503"/>
    <w:rsid w:val="001424D4"/>
    <w:rsid w:val="001448AC"/>
    <w:rsid w:val="0016057A"/>
    <w:rsid w:val="0016189B"/>
    <w:rsid w:val="00172EED"/>
    <w:rsid w:val="001806F6"/>
    <w:rsid w:val="00186FFB"/>
    <w:rsid w:val="00190ED3"/>
    <w:rsid w:val="00196574"/>
    <w:rsid w:val="001A0EE7"/>
    <w:rsid w:val="001A10EE"/>
    <w:rsid w:val="001A24F0"/>
    <w:rsid w:val="001A5E53"/>
    <w:rsid w:val="001B42C8"/>
    <w:rsid w:val="001B6C03"/>
    <w:rsid w:val="001B7874"/>
    <w:rsid w:val="001C6872"/>
    <w:rsid w:val="001D0170"/>
    <w:rsid w:val="001D1FFD"/>
    <w:rsid w:val="001D2A22"/>
    <w:rsid w:val="001E1E37"/>
    <w:rsid w:val="001E3C60"/>
    <w:rsid w:val="001E7F5B"/>
    <w:rsid w:val="001F083F"/>
    <w:rsid w:val="001F3C4B"/>
    <w:rsid w:val="002061D5"/>
    <w:rsid w:val="002144FE"/>
    <w:rsid w:val="00222137"/>
    <w:rsid w:val="002236DC"/>
    <w:rsid w:val="00224AB4"/>
    <w:rsid w:val="002265D8"/>
    <w:rsid w:val="0022719C"/>
    <w:rsid w:val="00237770"/>
    <w:rsid w:val="00237F81"/>
    <w:rsid w:val="00246ACF"/>
    <w:rsid w:val="00247F6B"/>
    <w:rsid w:val="00251A46"/>
    <w:rsid w:val="00253434"/>
    <w:rsid w:val="00254404"/>
    <w:rsid w:val="00255277"/>
    <w:rsid w:val="0026307B"/>
    <w:rsid w:val="00263EBF"/>
    <w:rsid w:val="00265564"/>
    <w:rsid w:val="0027000A"/>
    <w:rsid w:val="00273DD5"/>
    <w:rsid w:val="00274928"/>
    <w:rsid w:val="00274966"/>
    <w:rsid w:val="00275DBE"/>
    <w:rsid w:val="00276F72"/>
    <w:rsid w:val="0028070A"/>
    <w:rsid w:val="00280CA0"/>
    <w:rsid w:val="00282294"/>
    <w:rsid w:val="00287E60"/>
    <w:rsid w:val="00291856"/>
    <w:rsid w:val="00291F5B"/>
    <w:rsid w:val="00293AC2"/>
    <w:rsid w:val="0029681F"/>
    <w:rsid w:val="00296F66"/>
    <w:rsid w:val="002970A7"/>
    <w:rsid w:val="002A2A66"/>
    <w:rsid w:val="002A4695"/>
    <w:rsid w:val="002A52D8"/>
    <w:rsid w:val="002A7204"/>
    <w:rsid w:val="002A7375"/>
    <w:rsid w:val="002A7390"/>
    <w:rsid w:val="002A7BB8"/>
    <w:rsid w:val="002B31A2"/>
    <w:rsid w:val="002B4729"/>
    <w:rsid w:val="002B7D8F"/>
    <w:rsid w:val="002C0CF0"/>
    <w:rsid w:val="002C12E6"/>
    <w:rsid w:val="002C5013"/>
    <w:rsid w:val="002C5551"/>
    <w:rsid w:val="002C6578"/>
    <w:rsid w:val="002D1057"/>
    <w:rsid w:val="002D2430"/>
    <w:rsid w:val="002D3E7B"/>
    <w:rsid w:val="002D4FB0"/>
    <w:rsid w:val="002D73DF"/>
    <w:rsid w:val="002E041D"/>
    <w:rsid w:val="002E48C8"/>
    <w:rsid w:val="002F0EDE"/>
    <w:rsid w:val="002F151D"/>
    <w:rsid w:val="002F2429"/>
    <w:rsid w:val="002F56DC"/>
    <w:rsid w:val="003015CC"/>
    <w:rsid w:val="003021E3"/>
    <w:rsid w:val="00311C13"/>
    <w:rsid w:val="003146BD"/>
    <w:rsid w:val="00316AAA"/>
    <w:rsid w:val="003175EA"/>
    <w:rsid w:val="003176C6"/>
    <w:rsid w:val="00326969"/>
    <w:rsid w:val="00330BCD"/>
    <w:rsid w:val="003446FC"/>
    <w:rsid w:val="003462C4"/>
    <w:rsid w:val="00347406"/>
    <w:rsid w:val="00353653"/>
    <w:rsid w:val="00353FE4"/>
    <w:rsid w:val="00355D6E"/>
    <w:rsid w:val="003626AF"/>
    <w:rsid w:val="00362F3A"/>
    <w:rsid w:val="0036301D"/>
    <w:rsid w:val="00364642"/>
    <w:rsid w:val="00373709"/>
    <w:rsid w:val="003753C0"/>
    <w:rsid w:val="00387C2C"/>
    <w:rsid w:val="00393516"/>
    <w:rsid w:val="00397EEF"/>
    <w:rsid w:val="003A06B6"/>
    <w:rsid w:val="003A35FC"/>
    <w:rsid w:val="003A46DB"/>
    <w:rsid w:val="003A6455"/>
    <w:rsid w:val="003A6C80"/>
    <w:rsid w:val="003B372B"/>
    <w:rsid w:val="003B64DB"/>
    <w:rsid w:val="003C054C"/>
    <w:rsid w:val="003C4965"/>
    <w:rsid w:val="003D355E"/>
    <w:rsid w:val="003D71FE"/>
    <w:rsid w:val="003D7876"/>
    <w:rsid w:val="003E28A5"/>
    <w:rsid w:val="003E2936"/>
    <w:rsid w:val="003E3276"/>
    <w:rsid w:val="003E33C9"/>
    <w:rsid w:val="003E3FC3"/>
    <w:rsid w:val="003E6A3E"/>
    <w:rsid w:val="003F4914"/>
    <w:rsid w:val="00400630"/>
    <w:rsid w:val="0041552A"/>
    <w:rsid w:val="00415695"/>
    <w:rsid w:val="004158D1"/>
    <w:rsid w:val="00424B88"/>
    <w:rsid w:val="004269CF"/>
    <w:rsid w:val="00431E52"/>
    <w:rsid w:val="00441369"/>
    <w:rsid w:val="00454DF9"/>
    <w:rsid w:val="00455D4B"/>
    <w:rsid w:val="00460DA0"/>
    <w:rsid w:val="00463869"/>
    <w:rsid w:val="00464274"/>
    <w:rsid w:val="00484CCB"/>
    <w:rsid w:val="004869E5"/>
    <w:rsid w:val="00490561"/>
    <w:rsid w:val="00492AEE"/>
    <w:rsid w:val="0049352D"/>
    <w:rsid w:val="004A02F8"/>
    <w:rsid w:val="004A650C"/>
    <w:rsid w:val="004B2FC5"/>
    <w:rsid w:val="004B5EB3"/>
    <w:rsid w:val="004C0530"/>
    <w:rsid w:val="004C51A3"/>
    <w:rsid w:val="004D5B09"/>
    <w:rsid w:val="004F5B63"/>
    <w:rsid w:val="004F5B8D"/>
    <w:rsid w:val="00500CC1"/>
    <w:rsid w:val="005020AD"/>
    <w:rsid w:val="00502572"/>
    <w:rsid w:val="0050353B"/>
    <w:rsid w:val="00507E49"/>
    <w:rsid w:val="005216E4"/>
    <w:rsid w:val="00523304"/>
    <w:rsid w:val="0052411B"/>
    <w:rsid w:val="00527829"/>
    <w:rsid w:val="00530700"/>
    <w:rsid w:val="005409B4"/>
    <w:rsid w:val="00541421"/>
    <w:rsid w:val="00541749"/>
    <w:rsid w:val="00543AB8"/>
    <w:rsid w:val="00545DC9"/>
    <w:rsid w:val="00550A32"/>
    <w:rsid w:val="00560B92"/>
    <w:rsid w:val="00561C5B"/>
    <w:rsid w:val="00566191"/>
    <w:rsid w:val="00567A2C"/>
    <w:rsid w:val="00570954"/>
    <w:rsid w:val="005719C7"/>
    <w:rsid w:val="005731D3"/>
    <w:rsid w:val="00576514"/>
    <w:rsid w:val="00582861"/>
    <w:rsid w:val="005843DC"/>
    <w:rsid w:val="00584D92"/>
    <w:rsid w:val="005900D7"/>
    <w:rsid w:val="00593498"/>
    <w:rsid w:val="00593D45"/>
    <w:rsid w:val="00597893"/>
    <w:rsid w:val="005A7CE4"/>
    <w:rsid w:val="005B29F1"/>
    <w:rsid w:val="005C28D6"/>
    <w:rsid w:val="005C61DE"/>
    <w:rsid w:val="005C7515"/>
    <w:rsid w:val="005D1AA0"/>
    <w:rsid w:val="005D1DAB"/>
    <w:rsid w:val="005D2CBD"/>
    <w:rsid w:val="005E422C"/>
    <w:rsid w:val="005F1EB2"/>
    <w:rsid w:val="005F4B06"/>
    <w:rsid w:val="005F7900"/>
    <w:rsid w:val="00600E55"/>
    <w:rsid w:val="00601F05"/>
    <w:rsid w:val="006234BB"/>
    <w:rsid w:val="0062790A"/>
    <w:rsid w:val="00651D56"/>
    <w:rsid w:val="0065541C"/>
    <w:rsid w:val="006567EA"/>
    <w:rsid w:val="00660B4C"/>
    <w:rsid w:val="00661DF8"/>
    <w:rsid w:val="00666783"/>
    <w:rsid w:val="006731A8"/>
    <w:rsid w:val="00675888"/>
    <w:rsid w:val="0068042E"/>
    <w:rsid w:val="00683794"/>
    <w:rsid w:val="006876B9"/>
    <w:rsid w:val="006930EF"/>
    <w:rsid w:val="006A7A3F"/>
    <w:rsid w:val="006B4451"/>
    <w:rsid w:val="006B5496"/>
    <w:rsid w:val="006C1F61"/>
    <w:rsid w:val="006C4163"/>
    <w:rsid w:val="006C5053"/>
    <w:rsid w:val="006C7A33"/>
    <w:rsid w:val="006C7D49"/>
    <w:rsid w:val="006D390F"/>
    <w:rsid w:val="006D4AD5"/>
    <w:rsid w:val="006E3254"/>
    <w:rsid w:val="006E702C"/>
    <w:rsid w:val="006F2AA3"/>
    <w:rsid w:val="0070195A"/>
    <w:rsid w:val="00706F2B"/>
    <w:rsid w:val="00710A22"/>
    <w:rsid w:val="00713B94"/>
    <w:rsid w:val="007147F5"/>
    <w:rsid w:val="00716FBA"/>
    <w:rsid w:val="00723C06"/>
    <w:rsid w:val="00724BCE"/>
    <w:rsid w:val="00725B69"/>
    <w:rsid w:val="00725E20"/>
    <w:rsid w:val="00735DFD"/>
    <w:rsid w:val="00736801"/>
    <w:rsid w:val="00741D4D"/>
    <w:rsid w:val="007559CD"/>
    <w:rsid w:val="00765BCD"/>
    <w:rsid w:val="00766C34"/>
    <w:rsid w:val="007702FB"/>
    <w:rsid w:val="0077655A"/>
    <w:rsid w:val="00776FB3"/>
    <w:rsid w:val="00781D8C"/>
    <w:rsid w:val="00785334"/>
    <w:rsid w:val="00786F2B"/>
    <w:rsid w:val="00791407"/>
    <w:rsid w:val="0079653E"/>
    <w:rsid w:val="007A067A"/>
    <w:rsid w:val="007A06A4"/>
    <w:rsid w:val="007A1298"/>
    <w:rsid w:val="007A4497"/>
    <w:rsid w:val="007A7DAF"/>
    <w:rsid w:val="007B0A17"/>
    <w:rsid w:val="007B2B7F"/>
    <w:rsid w:val="007B4579"/>
    <w:rsid w:val="007B53F5"/>
    <w:rsid w:val="007B6997"/>
    <w:rsid w:val="007C2D23"/>
    <w:rsid w:val="007D50E8"/>
    <w:rsid w:val="007D5A77"/>
    <w:rsid w:val="007D6962"/>
    <w:rsid w:val="007D75A4"/>
    <w:rsid w:val="007E17BA"/>
    <w:rsid w:val="007E19E7"/>
    <w:rsid w:val="007E5C30"/>
    <w:rsid w:val="007F0445"/>
    <w:rsid w:val="007F0E06"/>
    <w:rsid w:val="007F6566"/>
    <w:rsid w:val="008010DF"/>
    <w:rsid w:val="00802F95"/>
    <w:rsid w:val="00813B1D"/>
    <w:rsid w:val="00815031"/>
    <w:rsid w:val="008306F0"/>
    <w:rsid w:val="00845458"/>
    <w:rsid w:val="00850BDA"/>
    <w:rsid w:val="008544CD"/>
    <w:rsid w:val="0085547B"/>
    <w:rsid w:val="00856EDD"/>
    <w:rsid w:val="008745B7"/>
    <w:rsid w:val="00875A03"/>
    <w:rsid w:val="00890235"/>
    <w:rsid w:val="0089077B"/>
    <w:rsid w:val="008A1046"/>
    <w:rsid w:val="008A3790"/>
    <w:rsid w:val="008B5601"/>
    <w:rsid w:val="008B5E2A"/>
    <w:rsid w:val="008C03FC"/>
    <w:rsid w:val="008C0B74"/>
    <w:rsid w:val="008C64A3"/>
    <w:rsid w:val="008D4A54"/>
    <w:rsid w:val="008D594D"/>
    <w:rsid w:val="008D7DC4"/>
    <w:rsid w:val="008F5BFC"/>
    <w:rsid w:val="008F6621"/>
    <w:rsid w:val="008F7FAD"/>
    <w:rsid w:val="009108B7"/>
    <w:rsid w:val="0091134B"/>
    <w:rsid w:val="009226E0"/>
    <w:rsid w:val="00925022"/>
    <w:rsid w:val="00927097"/>
    <w:rsid w:val="00927706"/>
    <w:rsid w:val="00927BD7"/>
    <w:rsid w:val="00930EA7"/>
    <w:rsid w:val="009317AB"/>
    <w:rsid w:val="00945C36"/>
    <w:rsid w:val="009472A8"/>
    <w:rsid w:val="00952CF1"/>
    <w:rsid w:val="00953F6F"/>
    <w:rsid w:val="00955A35"/>
    <w:rsid w:val="009564C5"/>
    <w:rsid w:val="009619C3"/>
    <w:rsid w:val="00961EF7"/>
    <w:rsid w:val="00972865"/>
    <w:rsid w:val="009752FC"/>
    <w:rsid w:val="009808E5"/>
    <w:rsid w:val="00987468"/>
    <w:rsid w:val="00992F5F"/>
    <w:rsid w:val="009A03A9"/>
    <w:rsid w:val="009A3C0F"/>
    <w:rsid w:val="009A7F52"/>
    <w:rsid w:val="009B3F87"/>
    <w:rsid w:val="009B672D"/>
    <w:rsid w:val="009B7F94"/>
    <w:rsid w:val="009C68BA"/>
    <w:rsid w:val="009D1771"/>
    <w:rsid w:val="009D7A8F"/>
    <w:rsid w:val="009E01A9"/>
    <w:rsid w:val="009E05BF"/>
    <w:rsid w:val="009E09F7"/>
    <w:rsid w:val="009E2B10"/>
    <w:rsid w:val="009F2609"/>
    <w:rsid w:val="009F6407"/>
    <w:rsid w:val="009F64B4"/>
    <w:rsid w:val="00A025FE"/>
    <w:rsid w:val="00A0365C"/>
    <w:rsid w:val="00A04183"/>
    <w:rsid w:val="00A05554"/>
    <w:rsid w:val="00A100A8"/>
    <w:rsid w:val="00A11CB1"/>
    <w:rsid w:val="00A14912"/>
    <w:rsid w:val="00A14D33"/>
    <w:rsid w:val="00A16902"/>
    <w:rsid w:val="00A205C3"/>
    <w:rsid w:val="00A25A58"/>
    <w:rsid w:val="00A27978"/>
    <w:rsid w:val="00A345AB"/>
    <w:rsid w:val="00A376DF"/>
    <w:rsid w:val="00A41C50"/>
    <w:rsid w:val="00A42830"/>
    <w:rsid w:val="00A44E1D"/>
    <w:rsid w:val="00A4672B"/>
    <w:rsid w:val="00A50610"/>
    <w:rsid w:val="00A520F3"/>
    <w:rsid w:val="00A57CFB"/>
    <w:rsid w:val="00A608EA"/>
    <w:rsid w:val="00A67409"/>
    <w:rsid w:val="00A731AB"/>
    <w:rsid w:val="00A740B9"/>
    <w:rsid w:val="00A766F9"/>
    <w:rsid w:val="00A810D4"/>
    <w:rsid w:val="00A84BD3"/>
    <w:rsid w:val="00A904B0"/>
    <w:rsid w:val="00A915E2"/>
    <w:rsid w:val="00A94F2F"/>
    <w:rsid w:val="00A97E70"/>
    <w:rsid w:val="00AA7E7A"/>
    <w:rsid w:val="00AB46A5"/>
    <w:rsid w:val="00AC06F8"/>
    <w:rsid w:val="00AC0DEE"/>
    <w:rsid w:val="00AC720D"/>
    <w:rsid w:val="00AC7C46"/>
    <w:rsid w:val="00AD4B9C"/>
    <w:rsid w:val="00AE473A"/>
    <w:rsid w:val="00AE497E"/>
    <w:rsid w:val="00AE588D"/>
    <w:rsid w:val="00AE7A13"/>
    <w:rsid w:val="00AF12D0"/>
    <w:rsid w:val="00AF29EF"/>
    <w:rsid w:val="00AF3940"/>
    <w:rsid w:val="00B03B0E"/>
    <w:rsid w:val="00B03BB4"/>
    <w:rsid w:val="00B11EEB"/>
    <w:rsid w:val="00B23AF1"/>
    <w:rsid w:val="00B4301D"/>
    <w:rsid w:val="00B46997"/>
    <w:rsid w:val="00B510E2"/>
    <w:rsid w:val="00B5575F"/>
    <w:rsid w:val="00B56A25"/>
    <w:rsid w:val="00B63BA8"/>
    <w:rsid w:val="00B661DE"/>
    <w:rsid w:val="00B71AA7"/>
    <w:rsid w:val="00B83FEB"/>
    <w:rsid w:val="00B85A15"/>
    <w:rsid w:val="00BA58EC"/>
    <w:rsid w:val="00BA59C8"/>
    <w:rsid w:val="00BB7E9E"/>
    <w:rsid w:val="00BC5A71"/>
    <w:rsid w:val="00BD59F3"/>
    <w:rsid w:val="00BE20CD"/>
    <w:rsid w:val="00BE27E3"/>
    <w:rsid w:val="00BE6007"/>
    <w:rsid w:val="00BF3576"/>
    <w:rsid w:val="00BF3590"/>
    <w:rsid w:val="00BF5F47"/>
    <w:rsid w:val="00C02A38"/>
    <w:rsid w:val="00C03310"/>
    <w:rsid w:val="00C0461A"/>
    <w:rsid w:val="00C136D7"/>
    <w:rsid w:val="00C1471E"/>
    <w:rsid w:val="00C14D59"/>
    <w:rsid w:val="00C16ECE"/>
    <w:rsid w:val="00C207F0"/>
    <w:rsid w:val="00C23968"/>
    <w:rsid w:val="00C24F28"/>
    <w:rsid w:val="00C253A9"/>
    <w:rsid w:val="00C27991"/>
    <w:rsid w:val="00C30790"/>
    <w:rsid w:val="00C33216"/>
    <w:rsid w:val="00C367C2"/>
    <w:rsid w:val="00C37EF0"/>
    <w:rsid w:val="00C44BCD"/>
    <w:rsid w:val="00C450B0"/>
    <w:rsid w:val="00C45F53"/>
    <w:rsid w:val="00C46766"/>
    <w:rsid w:val="00C5161C"/>
    <w:rsid w:val="00C5374B"/>
    <w:rsid w:val="00C5733C"/>
    <w:rsid w:val="00C6307A"/>
    <w:rsid w:val="00C65478"/>
    <w:rsid w:val="00C662CB"/>
    <w:rsid w:val="00C720F7"/>
    <w:rsid w:val="00C8291C"/>
    <w:rsid w:val="00C833D4"/>
    <w:rsid w:val="00C84AED"/>
    <w:rsid w:val="00C977AC"/>
    <w:rsid w:val="00CA385B"/>
    <w:rsid w:val="00CA4404"/>
    <w:rsid w:val="00CB5694"/>
    <w:rsid w:val="00CB7888"/>
    <w:rsid w:val="00CC5C78"/>
    <w:rsid w:val="00CD21E6"/>
    <w:rsid w:val="00CE1174"/>
    <w:rsid w:val="00CE2AD6"/>
    <w:rsid w:val="00CE5044"/>
    <w:rsid w:val="00CE6736"/>
    <w:rsid w:val="00CF19A5"/>
    <w:rsid w:val="00CF3771"/>
    <w:rsid w:val="00CF4EB9"/>
    <w:rsid w:val="00D00FFA"/>
    <w:rsid w:val="00D0483D"/>
    <w:rsid w:val="00D04B07"/>
    <w:rsid w:val="00D119A2"/>
    <w:rsid w:val="00D12F51"/>
    <w:rsid w:val="00D3251E"/>
    <w:rsid w:val="00D34E95"/>
    <w:rsid w:val="00D406E2"/>
    <w:rsid w:val="00D4275D"/>
    <w:rsid w:val="00D4383A"/>
    <w:rsid w:val="00D472D1"/>
    <w:rsid w:val="00D54C54"/>
    <w:rsid w:val="00D554A2"/>
    <w:rsid w:val="00D6627C"/>
    <w:rsid w:val="00D83770"/>
    <w:rsid w:val="00D840FC"/>
    <w:rsid w:val="00D9215F"/>
    <w:rsid w:val="00D926FC"/>
    <w:rsid w:val="00D9382B"/>
    <w:rsid w:val="00DA085F"/>
    <w:rsid w:val="00DA54C0"/>
    <w:rsid w:val="00DB1AA4"/>
    <w:rsid w:val="00DC70D3"/>
    <w:rsid w:val="00DC715C"/>
    <w:rsid w:val="00DD5131"/>
    <w:rsid w:val="00E06BAC"/>
    <w:rsid w:val="00E10D4B"/>
    <w:rsid w:val="00E26B86"/>
    <w:rsid w:val="00E3152A"/>
    <w:rsid w:val="00E3161F"/>
    <w:rsid w:val="00E3474D"/>
    <w:rsid w:val="00E40EC8"/>
    <w:rsid w:val="00E41D0C"/>
    <w:rsid w:val="00E46165"/>
    <w:rsid w:val="00E4745E"/>
    <w:rsid w:val="00E57199"/>
    <w:rsid w:val="00E6063C"/>
    <w:rsid w:val="00E609FB"/>
    <w:rsid w:val="00E634A8"/>
    <w:rsid w:val="00E63C41"/>
    <w:rsid w:val="00E731D3"/>
    <w:rsid w:val="00E734B8"/>
    <w:rsid w:val="00E75207"/>
    <w:rsid w:val="00E77E24"/>
    <w:rsid w:val="00E828E4"/>
    <w:rsid w:val="00E85754"/>
    <w:rsid w:val="00E86BEC"/>
    <w:rsid w:val="00E914AA"/>
    <w:rsid w:val="00E95046"/>
    <w:rsid w:val="00EA3A6A"/>
    <w:rsid w:val="00EA4A3F"/>
    <w:rsid w:val="00EA6193"/>
    <w:rsid w:val="00EB10BD"/>
    <w:rsid w:val="00EC2C3F"/>
    <w:rsid w:val="00EC30D3"/>
    <w:rsid w:val="00EC7827"/>
    <w:rsid w:val="00ED6035"/>
    <w:rsid w:val="00EE269E"/>
    <w:rsid w:val="00EE3EFA"/>
    <w:rsid w:val="00F03A0B"/>
    <w:rsid w:val="00F12DC7"/>
    <w:rsid w:val="00F131C1"/>
    <w:rsid w:val="00F17325"/>
    <w:rsid w:val="00F20A61"/>
    <w:rsid w:val="00F2276A"/>
    <w:rsid w:val="00F24659"/>
    <w:rsid w:val="00F25940"/>
    <w:rsid w:val="00F35CD3"/>
    <w:rsid w:val="00F40503"/>
    <w:rsid w:val="00F41546"/>
    <w:rsid w:val="00F4614C"/>
    <w:rsid w:val="00F54E3F"/>
    <w:rsid w:val="00F6210B"/>
    <w:rsid w:val="00F65AEC"/>
    <w:rsid w:val="00F82305"/>
    <w:rsid w:val="00F82509"/>
    <w:rsid w:val="00F83414"/>
    <w:rsid w:val="00F956A1"/>
    <w:rsid w:val="00FA213E"/>
    <w:rsid w:val="00FA56A0"/>
    <w:rsid w:val="00FA5F52"/>
    <w:rsid w:val="00FB023B"/>
    <w:rsid w:val="00FB28EE"/>
    <w:rsid w:val="00FB75D7"/>
    <w:rsid w:val="00FC06BB"/>
    <w:rsid w:val="00FC6F31"/>
    <w:rsid w:val="00FD4062"/>
    <w:rsid w:val="00FD46D1"/>
    <w:rsid w:val="00FD6333"/>
    <w:rsid w:val="00FD6CDC"/>
    <w:rsid w:val="00FE1EC2"/>
    <w:rsid w:val="00FE34B5"/>
    <w:rsid w:val="00FF10AA"/>
    <w:rsid w:val="00FF531C"/>
    <w:rsid w:val="00FF5EA8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CB7DB9"/>
  <w15:docId w15:val="{D6A7E0FB-87C8-4481-B8DD-511EF63A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06C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C46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AC7C46"/>
    <w:rPr>
      <w:rFonts w:ascii="Calibri" w:eastAsia="Times New Roman" w:hAnsi="Calibri" w:cs="Times New Roman"/>
      <w:lang w:val="en-GB" w:eastAsia="en-GB"/>
    </w:rPr>
  </w:style>
  <w:style w:type="paragraph" w:styleId="ListParagraph">
    <w:name w:val="List Paragraph"/>
    <w:aliases w:val="FooterText"/>
    <w:basedOn w:val="Normal"/>
    <w:link w:val="ListParagraphChar"/>
    <w:uiPriority w:val="34"/>
    <w:qFormat/>
    <w:rsid w:val="00AC7C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2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4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4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4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4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25F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E49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06C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006CBE"/>
  </w:style>
  <w:style w:type="character" w:styleId="Strong">
    <w:name w:val="Strong"/>
    <w:basedOn w:val="DefaultParagraphFont"/>
    <w:uiPriority w:val="22"/>
    <w:qFormat/>
    <w:rsid w:val="00C5733C"/>
    <w:rPr>
      <w:b/>
      <w:bCs/>
    </w:rPr>
  </w:style>
  <w:style w:type="character" w:styleId="Emphasis">
    <w:name w:val="Emphasis"/>
    <w:basedOn w:val="DefaultParagraphFont"/>
    <w:uiPriority w:val="20"/>
    <w:qFormat/>
    <w:rsid w:val="00C5733C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190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ED3"/>
  </w:style>
  <w:style w:type="paragraph" w:styleId="NoSpacing">
    <w:name w:val="No Spacing"/>
    <w:link w:val="NoSpacingChar"/>
    <w:uiPriority w:val="1"/>
    <w:qFormat/>
    <w:rsid w:val="00A0365C"/>
    <w:pPr>
      <w:spacing w:after="0" w:line="240" w:lineRule="auto"/>
    </w:pPr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A0365C"/>
    <w:rPr>
      <w:lang w:val="en-GB"/>
    </w:rPr>
  </w:style>
  <w:style w:type="character" w:customStyle="1" w:styleId="ListParagraphChar">
    <w:name w:val="List Paragraph Char"/>
    <w:aliases w:val="FooterText Char"/>
    <w:link w:val="ListParagraph"/>
    <w:uiPriority w:val="34"/>
    <w:locked/>
    <w:rsid w:val="00A0365C"/>
  </w:style>
  <w:style w:type="character" w:styleId="FollowedHyperlink">
    <w:name w:val="FollowedHyperlink"/>
    <w:basedOn w:val="DefaultParagraphFont"/>
    <w:uiPriority w:val="99"/>
    <w:semiHidden/>
    <w:unhideWhenUsed/>
    <w:rsid w:val="00C23968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446F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46FC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35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baiparksandresorts.com" TargetMode="External"/><Relationship Id="rId13" Type="http://schemas.openxmlformats.org/officeDocument/2006/relationships/hyperlink" Target="https://www.instagram.com/dubaiparksresorts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mailto:Samantha.dsa@bm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dxbparksresor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DubaiParksandResorts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user/dubaiparksandresorts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EC4BD-C96A-4C6B-A1F0-F5C7945D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Menacom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Lisa</dc:creator>
  <cp:lastModifiedBy>Dasouqi, Sameer</cp:lastModifiedBy>
  <cp:revision>6</cp:revision>
  <cp:lastPrinted>2017-01-12T10:03:00Z</cp:lastPrinted>
  <dcterms:created xsi:type="dcterms:W3CDTF">2017-04-19T08:23:00Z</dcterms:created>
  <dcterms:modified xsi:type="dcterms:W3CDTF">2017-04-25T10:08:00Z</dcterms:modified>
</cp:coreProperties>
</file>